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8D81" w14:textId="77777777" w:rsidR="00B509D6" w:rsidRPr="00B509D6" w:rsidRDefault="00B509D6" w:rsidP="00B509D6">
      <w:pPr>
        <w:spacing w:after="0" w:line="240" w:lineRule="auto"/>
        <w:jc w:val="right"/>
        <w:rPr>
          <w:rFonts w:ascii="Times New Roman" w:hAnsi="Times New Roman" w:cs="Times New Roman"/>
          <w:b/>
          <w:bCs/>
          <w:sz w:val="24"/>
          <w:szCs w:val="24"/>
          <w:lang w:val="es-ES"/>
        </w:rPr>
      </w:pPr>
      <w:r w:rsidRPr="00B509D6">
        <w:rPr>
          <w:rFonts w:ascii="Times New Roman" w:hAnsi="Times New Roman" w:cs="Times New Roman"/>
          <w:b/>
          <w:bCs/>
          <w:sz w:val="24"/>
          <w:szCs w:val="24"/>
          <w:lang w:val="es-ES"/>
        </w:rPr>
        <w:t>Boletín N 14.754-06</w:t>
      </w:r>
    </w:p>
    <w:p w14:paraId="56B66E33" w14:textId="77777777" w:rsidR="00B509D6" w:rsidRDefault="00B509D6" w:rsidP="00B509D6">
      <w:pPr>
        <w:spacing w:after="0" w:line="240" w:lineRule="auto"/>
        <w:jc w:val="both"/>
        <w:rPr>
          <w:rFonts w:ascii="Times New Roman" w:hAnsi="Times New Roman" w:cs="Times New Roman"/>
          <w:b/>
          <w:bCs/>
          <w:sz w:val="24"/>
          <w:szCs w:val="24"/>
          <w:lang w:val="es-ES"/>
        </w:rPr>
      </w:pPr>
    </w:p>
    <w:p w14:paraId="41DF939C" w14:textId="2E8C4817" w:rsidR="00B509D6" w:rsidRPr="00B509D6" w:rsidRDefault="00B509D6" w:rsidP="00B509D6">
      <w:pPr>
        <w:spacing w:after="0" w:line="240" w:lineRule="auto"/>
        <w:jc w:val="both"/>
        <w:rPr>
          <w:rFonts w:ascii="Times New Roman" w:hAnsi="Times New Roman" w:cs="Times New Roman"/>
          <w:b/>
          <w:bCs/>
          <w:sz w:val="24"/>
          <w:szCs w:val="24"/>
          <w:lang w:val="es-ES"/>
        </w:rPr>
      </w:pPr>
      <w:r w:rsidRPr="00B509D6">
        <w:rPr>
          <w:rFonts w:ascii="Times New Roman" w:hAnsi="Times New Roman" w:cs="Times New Roman"/>
          <w:b/>
          <w:bCs/>
          <w:sz w:val="24"/>
          <w:szCs w:val="24"/>
          <w:lang w:val="es-ES"/>
        </w:rPr>
        <w:t>Proyecto de ley, iniciado en moción de los Honorables Senadores señores Huenchumilla y Quintana, que modifica la Ley de Bases Generales de la Administración del Estado, con el objeto de interpretar normas sobre responsabilidad del Estado por falta de servicio.</w:t>
      </w:r>
    </w:p>
    <w:p w14:paraId="247A99DC" w14:textId="7CB9F38A" w:rsidR="00A17F9E" w:rsidRDefault="00A17F9E" w:rsidP="002707E4">
      <w:pPr>
        <w:jc w:val="both"/>
        <w:rPr>
          <w:rFonts w:ascii="Trebuchet MS" w:hAnsi="Trebuchet MS"/>
          <w:b/>
          <w:bCs/>
          <w:sz w:val="14"/>
          <w:szCs w:val="14"/>
        </w:rPr>
      </w:pPr>
    </w:p>
    <w:p w14:paraId="73D8015B" w14:textId="77777777" w:rsidR="005427B1" w:rsidRPr="0064426B" w:rsidRDefault="005427B1" w:rsidP="002707E4">
      <w:pPr>
        <w:jc w:val="both"/>
        <w:rPr>
          <w:rFonts w:ascii="Trebuchet MS" w:hAnsi="Trebuchet MS"/>
          <w:b/>
          <w:bCs/>
          <w:sz w:val="6"/>
          <w:szCs w:val="6"/>
        </w:rPr>
      </w:pPr>
    </w:p>
    <w:p w14:paraId="17498C24" w14:textId="10DE2B94" w:rsidR="00F7115C" w:rsidRDefault="00A17F9E" w:rsidP="00381495">
      <w:pPr>
        <w:jc w:val="both"/>
        <w:rPr>
          <w:rFonts w:ascii="Trebuchet MS" w:hAnsi="Trebuchet MS"/>
          <w:sz w:val="24"/>
          <w:szCs w:val="24"/>
        </w:rPr>
      </w:pPr>
      <w:r w:rsidRPr="002D0D98">
        <w:rPr>
          <w:rFonts w:ascii="Trebuchet MS" w:hAnsi="Trebuchet MS"/>
          <w:sz w:val="24"/>
          <w:szCs w:val="24"/>
        </w:rPr>
        <w:t>FUNDAMENTOS</w:t>
      </w:r>
    </w:p>
    <w:p w14:paraId="29235FFA" w14:textId="77777777" w:rsidR="00F7115C" w:rsidRPr="006C3AFD" w:rsidRDefault="00F7115C" w:rsidP="00F7115C">
      <w:pPr>
        <w:pStyle w:val="Prrafodelista"/>
        <w:jc w:val="both"/>
        <w:rPr>
          <w:rFonts w:ascii="Trebuchet MS" w:hAnsi="Trebuchet MS"/>
          <w:sz w:val="14"/>
          <w:szCs w:val="14"/>
        </w:rPr>
      </w:pPr>
    </w:p>
    <w:p w14:paraId="18F8926C" w14:textId="17ED33CA" w:rsidR="00F7115C" w:rsidRDefault="00E07472" w:rsidP="00FB72FE">
      <w:pPr>
        <w:pStyle w:val="Prrafodelista"/>
        <w:numPr>
          <w:ilvl w:val="0"/>
          <w:numId w:val="24"/>
        </w:numPr>
        <w:ind w:left="1134" w:hanging="1134"/>
        <w:jc w:val="both"/>
        <w:rPr>
          <w:rFonts w:ascii="Trebuchet MS" w:hAnsi="Trebuchet MS"/>
          <w:sz w:val="24"/>
          <w:szCs w:val="24"/>
        </w:rPr>
      </w:pPr>
      <w:r w:rsidRPr="00F7115C">
        <w:rPr>
          <w:rFonts w:ascii="Trebuchet MS" w:hAnsi="Trebuchet MS"/>
          <w:sz w:val="24"/>
          <w:szCs w:val="24"/>
          <w:u w:val="single"/>
        </w:rPr>
        <w:t>La Responsabilidad administrativa por lesión de derech</w:t>
      </w:r>
      <w:r w:rsidR="00A645C0" w:rsidRPr="00F7115C">
        <w:rPr>
          <w:rFonts w:ascii="Trebuchet MS" w:hAnsi="Trebuchet MS"/>
          <w:sz w:val="24"/>
          <w:szCs w:val="24"/>
          <w:u w:val="single"/>
        </w:rPr>
        <w:t>os de los administrados</w:t>
      </w:r>
      <w:r w:rsidR="002D0D98" w:rsidRPr="00F7115C">
        <w:rPr>
          <w:rFonts w:ascii="Trebuchet MS" w:hAnsi="Trebuchet MS"/>
          <w:sz w:val="24"/>
          <w:szCs w:val="24"/>
          <w:u w:val="single"/>
        </w:rPr>
        <w:t xml:space="preserve"> como pilar del Estado de Derecho</w:t>
      </w:r>
      <w:r w:rsidR="002D0D98" w:rsidRPr="00F7115C">
        <w:rPr>
          <w:rFonts w:ascii="Trebuchet MS" w:hAnsi="Trebuchet MS"/>
          <w:sz w:val="24"/>
          <w:szCs w:val="24"/>
        </w:rPr>
        <w:t>.</w:t>
      </w:r>
    </w:p>
    <w:p w14:paraId="01E892F8" w14:textId="77777777" w:rsidR="008074B2" w:rsidRPr="008074B2" w:rsidRDefault="008074B2" w:rsidP="008074B2">
      <w:pPr>
        <w:pStyle w:val="Prrafodelista"/>
        <w:ind w:left="1134"/>
        <w:jc w:val="both"/>
        <w:rPr>
          <w:rFonts w:ascii="Trebuchet MS" w:hAnsi="Trebuchet MS"/>
          <w:sz w:val="16"/>
          <w:szCs w:val="16"/>
        </w:rPr>
      </w:pPr>
    </w:p>
    <w:p w14:paraId="789A9D0B" w14:textId="00B47D2A" w:rsidR="00FB5636" w:rsidRPr="00580787" w:rsidRDefault="00FB5636" w:rsidP="00F764CB">
      <w:pPr>
        <w:jc w:val="both"/>
        <w:rPr>
          <w:rFonts w:ascii="Trebuchet MS" w:hAnsi="Trebuchet MS"/>
        </w:rPr>
      </w:pPr>
      <w:r w:rsidRPr="00580787">
        <w:rPr>
          <w:rFonts w:ascii="Trebuchet MS" w:hAnsi="Trebuchet MS"/>
        </w:rPr>
        <w:t>Los sistemas de responsabilidad del Estado son uno de los aspectos más importantes para el control de las decisiones y actuaciones de los agentes del Estado, permitiendo así reparar y evitar la lesión de los derechos de los particulares, sosteniendo y garantizando la existencia de un verdadero Estado de Derecho. Como señalara M</w:t>
      </w:r>
      <w:r w:rsidR="0004708D" w:rsidRPr="00580787">
        <w:rPr>
          <w:rFonts w:ascii="Trebuchet MS" w:hAnsi="Trebuchet MS"/>
        </w:rPr>
        <w:t>arienhoff</w:t>
      </w:r>
      <w:r w:rsidR="00F764CB" w:rsidRPr="00580787">
        <w:rPr>
          <w:rStyle w:val="Refdenotaalpie"/>
          <w:rFonts w:ascii="Trebuchet MS" w:hAnsi="Trebuchet MS"/>
        </w:rPr>
        <w:footnoteReference w:id="2"/>
      </w:r>
      <w:r w:rsidRPr="00580787">
        <w:rPr>
          <w:rFonts w:ascii="Trebuchet MS" w:hAnsi="Trebuchet MS"/>
        </w:rPr>
        <w:t>, “Estado de Derecho” y “responsabilidad” son, en este orden de ideas, conceptos correlativos. Tal responsabilidad existe cualquiera sea el órgano estatal –Legislativo, Ejecutivo o Judicial- causante del agravio, pues cualquiera de esos órganos, al actuar, lo hace en nombre del “Estado”, a cuya estructura pertenece.</w:t>
      </w:r>
    </w:p>
    <w:p w14:paraId="2901F331" w14:textId="52D6B393" w:rsidR="00FB5636" w:rsidRPr="00580787" w:rsidRDefault="00157020" w:rsidP="00FB5636">
      <w:pPr>
        <w:shd w:val="clear" w:color="auto" w:fill="FFFFFF"/>
        <w:spacing w:after="0" w:line="240" w:lineRule="auto"/>
        <w:jc w:val="both"/>
        <w:rPr>
          <w:rFonts w:ascii="Trebuchet MS" w:hAnsi="Trebuchet MS"/>
        </w:rPr>
      </w:pPr>
      <w:r w:rsidRPr="00580787">
        <w:rPr>
          <w:rFonts w:ascii="Trebuchet MS" w:hAnsi="Trebuchet MS"/>
        </w:rPr>
        <w:t>La evolución de la teoría de la responsabilidad del Estado que partió desde la carencia de una respuesta por los daños producidos a los particulares, transitando hacia la generación de mecanismos de protección del ciudadano frente al Estado, pone al centro de la discusión jurídica a un actor particular dentro de él: la Administración</w:t>
      </w:r>
      <w:r w:rsidR="0004708D" w:rsidRPr="00580787">
        <w:rPr>
          <w:rFonts w:ascii="Trebuchet MS" w:hAnsi="Trebuchet MS"/>
        </w:rPr>
        <w:t>,</w:t>
      </w:r>
      <w:r w:rsidRPr="00580787">
        <w:rPr>
          <w:rFonts w:ascii="Trebuchet MS" w:hAnsi="Trebuchet MS"/>
        </w:rPr>
        <w:t xml:space="preserve"> en tanto sujeto principal de los servicios o estructuras prestacionales del Estado para la satisfacción de las necesidades de las personas. </w:t>
      </w:r>
      <w:r w:rsidR="00782D87" w:rsidRPr="00580787">
        <w:rPr>
          <w:rFonts w:ascii="Trebuchet MS" w:hAnsi="Trebuchet MS"/>
        </w:rPr>
        <w:t xml:space="preserve"> A su respecto, el </w:t>
      </w:r>
      <w:r w:rsidR="00FB5636" w:rsidRPr="00580787">
        <w:rPr>
          <w:rFonts w:ascii="Trebuchet MS" w:hAnsi="Trebuchet MS"/>
        </w:rPr>
        <w:t xml:space="preserve">fundamento histórico, político y administrativo de </w:t>
      </w:r>
      <w:r w:rsidR="006932FD" w:rsidRPr="00580787">
        <w:rPr>
          <w:rFonts w:ascii="Trebuchet MS" w:hAnsi="Trebuchet MS"/>
        </w:rPr>
        <w:t>la respo</w:t>
      </w:r>
      <w:r w:rsidR="00782D87" w:rsidRPr="00580787">
        <w:rPr>
          <w:rFonts w:ascii="Trebuchet MS" w:hAnsi="Trebuchet MS"/>
        </w:rPr>
        <w:t xml:space="preserve">nsabilidad </w:t>
      </w:r>
      <w:r w:rsidR="00FB5636" w:rsidRPr="00580787">
        <w:rPr>
          <w:rFonts w:ascii="Trebuchet MS" w:hAnsi="Trebuchet MS"/>
        </w:rPr>
        <w:t>radica en su configuración como garantía jurídica de los administrados frente al Poder Público, y consiguientemente, vinculada en su esencia a una forma de resarcimiento de los particulares frente a los eventuales efectos lesivos derivados de la acción administrativa</w:t>
      </w:r>
      <w:r w:rsidR="00782D87" w:rsidRPr="00580787">
        <w:rPr>
          <w:rFonts w:ascii="Trebuchet MS" w:hAnsi="Trebuchet MS"/>
        </w:rPr>
        <w:t>.</w:t>
      </w:r>
      <w:r w:rsidR="00FB5636" w:rsidRPr="00580787">
        <w:rPr>
          <w:rFonts w:ascii="Trebuchet MS" w:hAnsi="Trebuchet MS"/>
        </w:rPr>
        <w:t xml:space="preserve"> </w:t>
      </w:r>
    </w:p>
    <w:p w14:paraId="4ADB5FEA" w14:textId="77777777" w:rsidR="00FB5636" w:rsidRPr="00580787" w:rsidRDefault="00FB5636" w:rsidP="00FB5636">
      <w:pPr>
        <w:shd w:val="clear" w:color="auto" w:fill="FFFFFF"/>
        <w:spacing w:after="0" w:line="240" w:lineRule="auto"/>
        <w:jc w:val="both"/>
        <w:rPr>
          <w:rFonts w:ascii="Trebuchet MS" w:hAnsi="Trebuchet MS"/>
        </w:rPr>
      </w:pPr>
    </w:p>
    <w:p w14:paraId="33B09266" w14:textId="77777777" w:rsidR="008074B2" w:rsidRDefault="00782D87" w:rsidP="0004708D">
      <w:pPr>
        <w:shd w:val="clear" w:color="auto" w:fill="FFFFFF"/>
        <w:spacing w:after="0" w:line="240" w:lineRule="auto"/>
        <w:jc w:val="both"/>
        <w:rPr>
          <w:rFonts w:ascii="Trebuchet MS" w:hAnsi="Trebuchet MS"/>
        </w:rPr>
      </w:pPr>
      <w:r w:rsidRPr="00580787">
        <w:rPr>
          <w:rFonts w:ascii="Trebuchet MS" w:hAnsi="Trebuchet MS"/>
        </w:rPr>
        <w:t xml:space="preserve">Como lo advierten </w:t>
      </w:r>
      <w:r w:rsidR="007C7667" w:rsidRPr="00580787">
        <w:rPr>
          <w:rFonts w:ascii="Trebuchet MS" w:hAnsi="Trebuchet MS"/>
        </w:rPr>
        <w:t>García de Enterría y Fernández,</w:t>
      </w:r>
      <w:r w:rsidR="00ED142E" w:rsidRPr="00580787">
        <w:rPr>
          <w:rFonts w:ascii="Trebuchet MS" w:hAnsi="Trebuchet MS"/>
        </w:rPr>
        <w:t xml:space="preserve"> “</w:t>
      </w:r>
      <w:r w:rsidR="007C7667" w:rsidRPr="00580787">
        <w:rPr>
          <w:rFonts w:ascii="Trebuchet MS" w:hAnsi="Trebuchet MS"/>
        </w:rPr>
        <w:t>l</w:t>
      </w:r>
      <w:r w:rsidR="00ED142E" w:rsidRPr="00580787">
        <w:rPr>
          <w:rFonts w:ascii="Trebuchet MS" w:hAnsi="Trebuchet MS"/>
        </w:rPr>
        <w:t>legar a esa conclusión, en principio tan obvia, que impone, por tanto, la formulación de un principio de resarcimiento de todos los daños causados por el funcionamiento de la Administración, no ha sido, sin embargo, tarea fácil, ni en nuestro propio Derecho, ni en el panorama general del Derecho comparado”</w:t>
      </w:r>
      <w:r w:rsidR="007C7667" w:rsidRPr="00580787">
        <w:rPr>
          <w:rStyle w:val="Refdenotaalpie"/>
          <w:rFonts w:ascii="Trebuchet MS" w:hAnsi="Trebuchet MS"/>
        </w:rPr>
        <w:footnoteReference w:id="3"/>
      </w:r>
      <w:r w:rsidR="00ED142E" w:rsidRPr="00580787">
        <w:rPr>
          <w:rFonts w:ascii="Trebuchet MS" w:hAnsi="Trebuchet MS"/>
        </w:rPr>
        <w:t xml:space="preserve"> </w:t>
      </w:r>
      <w:r w:rsidR="00F57CD8" w:rsidRPr="00580787">
        <w:rPr>
          <w:rFonts w:ascii="Trebuchet MS" w:hAnsi="Trebuchet MS"/>
        </w:rPr>
        <w:t xml:space="preserve">.Es, </w:t>
      </w:r>
      <w:r w:rsidR="003D39E5" w:rsidRPr="00580787">
        <w:rPr>
          <w:rFonts w:ascii="Trebuchet MS" w:hAnsi="Trebuchet MS"/>
        </w:rPr>
        <w:t>sin em</w:t>
      </w:r>
      <w:r w:rsidR="00FF65F1" w:rsidRPr="00580787">
        <w:rPr>
          <w:rFonts w:ascii="Trebuchet MS" w:hAnsi="Trebuchet MS"/>
        </w:rPr>
        <w:t xml:space="preserve">bargo, una  concepción </w:t>
      </w:r>
      <w:r w:rsidR="00F57CD8" w:rsidRPr="00580787">
        <w:rPr>
          <w:rFonts w:ascii="Trebuchet MS" w:hAnsi="Trebuchet MS"/>
        </w:rPr>
        <w:t xml:space="preserve"> fundamental</w:t>
      </w:r>
      <w:r w:rsidR="00FF65F1" w:rsidRPr="00580787">
        <w:rPr>
          <w:rFonts w:ascii="Trebuchet MS" w:hAnsi="Trebuchet MS"/>
        </w:rPr>
        <w:t xml:space="preserve"> pues significa un “</w:t>
      </w:r>
      <w:r w:rsidR="00ED142E" w:rsidRPr="00580787">
        <w:rPr>
          <w:rFonts w:ascii="Trebuchet MS" w:hAnsi="Trebuchet MS"/>
        </w:rPr>
        <w:t>cambio de paradigma</w:t>
      </w:r>
      <w:r w:rsidR="009D63CD" w:rsidRPr="00580787">
        <w:rPr>
          <w:rFonts w:ascii="Trebuchet MS" w:hAnsi="Trebuchet MS"/>
        </w:rPr>
        <w:t xml:space="preserve">”, ya que </w:t>
      </w:r>
      <w:r w:rsidR="00ED142E" w:rsidRPr="00580787">
        <w:rPr>
          <w:rFonts w:ascii="Trebuchet MS" w:hAnsi="Trebuchet MS"/>
        </w:rPr>
        <w:t xml:space="preserve"> </w:t>
      </w:r>
      <w:r w:rsidR="009D63CD" w:rsidRPr="00580787">
        <w:rPr>
          <w:rFonts w:ascii="Trebuchet MS" w:hAnsi="Trebuchet MS"/>
        </w:rPr>
        <w:t>“</w:t>
      </w:r>
      <w:r w:rsidR="00ED142E" w:rsidRPr="00580787">
        <w:rPr>
          <w:rFonts w:ascii="Trebuchet MS" w:hAnsi="Trebuchet MS"/>
        </w:rPr>
        <w:t xml:space="preserve"> la óptica radicará no ya en responsabilidad de quien causó el daño, si se quiere en una reparación por vía de sanción, sino que observando o considerando el patrimonio de la persona lesionada. “La responsabilidad pasará así a convertirse en un mecanismo que se pone en funcionamiento sólo si y en la medida en que se haya producido una lesión patrimonial en el sentido propio a resultas de la acción u omisión de la Administración.”</w:t>
      </w:r>
      <w:r w:rsidR="00F57CD8" w:rsidRPr="00580787">
        <w:rPr>
          <w:rStyle w:val="Refdenotaalpie"/>
          <w:rFonts w:ascii="Trebuchet MS" w:hAnsi="Trebuchet MS"/>
        </w:rPr>
        <w:footnoteReference w:id="4"/>
      </w:r>
      <w:r w:rsidR="00ED142E" w:rsidRPr="00580787">
        <w:rPr>
          <w:rFonts w:ascii="Trebuchet MS" w:hAnsi="Trebuchet MS"/>
        </w:rPr>
        <w:t xml:space="preserve"> “El concepto de lesión se convierte de este modo en el auténtico centro de gravedad del sistema”</w:t>
      </w:r>
      <w:r w:rsidR="00FF65F1" w:rsidRPr="00580787">
        <w:rPr>
          <w:rStyle w:val="Refdenotaalpie"/>
          <w:rFonts w:ascii="Trebuchet MS" w:hAnsi="Trebuchet MS"/>
        </w:rPr>
        <w:footnoteReference w:id="5"/>
      </w:r>
      <w:r w:rsidR="00ED142E" w:rsidRPr="00580787">
        <w:rPr>
          <w:rFonts w:ascii="Trebuchet MS" w:hAnsi="Trebuchet MS"/>
        </w:rPr>
        <w:t xml:space="preserve"> </w:t>
      </w:r>
      <w:r w:rsidR="009D63CD" w:rsidRPr="00580787">
        <w:rPr>
          <w:rFonts w:ascii="Trebuchet MS" w:hAnsi="Trebuchet MS"/>
        </w:rPr>
        <w:t>. Y, la importancia del paradigma es que “encausa la responsabilidad del Estado producida por la acción de sus autoridades y funcionarios en torno a un objetivo común: la reparación integral del daño causado”</w:t>
      </w:r>
      <w:r w:rsidR="009D63CD" w:rsidRPr="00580787">
        <w:rPr>
          <w:rStyle w:val="Refdenotaalpie"/>
          <w:rFonts w:ascii="Trebuchet MS" w:hAnsi="Trebuchet MS"/>
        </w:rPr>
        <w:footnoteReference w:id="6"/>
      </w:r>
      <w:r w:rsidR="009D63CD" w:rsidRPr="00580787">
        <w:rPr>
          <w:rFonts w:ascii="Trebuchet MS" w:hAnsi="Trebuchet MS"/>
        </w:rPr>
        <w:t>.</w:t>
      </w:r>
    </w:p>
    <w:p w14:paraId="3CF29D08" w14:textId="76764E8E" w:rsidR="0004708D" w:rsidRDefault="009D63CD" w:rsidP="0004708D">
      <w:pPr>
        <w:shd w:val="clear" w:color="auto" w:fill="FFFFFF"/>
        <w:spacing w:after="0" w:line="240" w:lineRule="auto"/>
        <w:jc w:val="both"/>
        <w:rPr>
          <w:rFonts w:ascii="Trebuchet MS" w:hAnsi="Trebuchet MS"/>
        </w:rPr>
      </w:pPr>
      <w:r w:rsidRPr="00580787">
        <w:rPr>
          <w:rFonts w:ascii="Trebuchet MS" w:hAnsi="Trebuchet MS"/>
        </w:rPr>
        <w:lastRenderedPageBreak/>
        <w:t xml:space="preserve"> </w:t>
      </w:r>
    </w:p>
    <w:p w14:paraId="3C169C6C" w14:textId="77777777" w:rsidR="0076613B" w:rsidRPr="00580787" w:rsidRDefault="0076613B" w:rsidP="0004708D">
      <w:pPr>
        <w:shd w:val="clear" w:color="auto" w:fill="FFFFFF"/>
        <w:spacing w:after="0" w:line="240" w:lineRule="auto"/>
        <w:jc w:val="both"/>
        <w:rPr>
          <w:rFonts w:ascii="Trebuchet MS" w:hAnsi="Trebuchet MS"/>
        </w:rPr>
      </w:pPr>
    </w:p>
    <w:p w14:paraId="4DCC870E" w14:textId="525AEB9D" w:rsidR="00F7115C" w:rsidRDefault="003037D7" w:rsidP="00FB72FE">
      <w:pPr>
        <w:pStyle w:val="Prrafodelista"/>
        <w:numPr>
          <w:ilvl w:val="0"/>
          <w:numId w:val="24"/>
        </w:numPr>
        <w:spacing w:line="252" w:lineRule="auto"/>
        <w:ind w:left="1134" w:hanging="1134"/>
        <w:jc w:val="both"/>
        <w:rPr>
          <w:rFonts w:ascii="Trebuchet MS" w:hAnsi="Trebuchet MS"/>
          <w:u w:val="single"/>
        </w:rPr>
      </w:pPr>
      <w:r w:rsidRPr="00FB72FE">
        <w:rPr>
          <w:rFonts w:ascii="Trebuchet MS" w:hAnsi="Trebuchet MS"/>
          <w:u w:val="single"/>
        </w:rPr>
        <w:t xml:space="preserve">Bases del </w:t>
      </w:r>
      <w:r w:rsidR="00F7115C" w:rsidRPr="00FB72FE">
        <w:rPr>
          <w:rFonts w:ascii="Trebuchet MS" w:hAnsi="Trebuchet MS"/>
          <w:u w:val="single"/>
        </w:rPr>
        <w:t>Sistema de Responsabilidad Pública</w:t>
      </w:r>
      <w:r w:rsidR="00FB72FE">
        <w:rPr>
          <w:rFonts w:ascii="Trebuchet MS" w:hAnsi="Trebuchet MS"/>
          <w:u w:val="single"/>
        </w:rPr>
        <w:t>.</w:t>
      </w:r>
      <w:r w:rsidR="00AC3390" w:rsidRPr="00FB72FE">
        <w:rPr>
          <w:rFonts w:ascii="Trebuchet MS" w:hAnsi="Trebuchet MS"/>
          <w:u w:val="single"/>
        </w:rPr>
        <w:t xml:space="preserve"> </w:t>
      </w:r>
    </w:p>
    <w:p w14:paraId="050DD6BC" w14:textId="77777777" w:rsidR="008074B2" w:rsidRPr="008074B2" w:rsidRDefault="008074B2" w:rsidP="008074B2">
      <w:pPr>
        <w:pStyle w:val="Prrafodelista"/>
        <w:spacing w:line="252" w:lineRule="auto"/>
        <w:ind w:left="1134"/>
        <w:jc w:val="both"/>
        <w:rPr>
          <w:rFonts w:ascii="Trebuchet MS" w:hAnsi="Trebuchet MS"/>
          <w:sz w:val="16"/>
          <w:szCs w:val="16"/>
          <w:u w:val="single"/>
        </w:rPr>
      </w:pPr>
    </w:p>
    <w:p w14:paraId="3A660245" w14:textId="77777777" w:rsidR="00F7115C" w:rsidRPr="003E7D40" w:rsidRDefault="00F7115C" w:rsidP="003E7D40">
      <w:pPr>
        <w:jc w:val="both"/>
        <w:rPr>
          <w:rFonts w:ascii="Trebuchet MS" w:hAnsi="Trebuchet MS"/>
        </w:rPr>
      </w:pPr>
      <w:r w:rsidRPr="003E7D40">
        <w:rPr>
          <w:rFonts w:ascii="Trebuchet MS" w:hAnsi="Trebuchet MS"/>
        </w:rPr>
        <w:t>El ordenamiento jurídico nacional reconoce en términos genéricos dos grandes tipos de regímenes de responsabilidad, uno particular o civil que regula las relaciones entre los privados y otro estatal o público.</w:t>
      </w:r>
    </w:p>
    <w:p w14:paraId="7671F744" w14:textId="355CBA52" w:rsidR="00F7115C" w:rsidRDefault="00F7115C" w:rsidP="003E7D40">
      <w:pPr>
        <w:pStyle w:val="Prrafodelista"/>
        <w:ind w:left="0"/>
        <w:jc w:val="both"/>
        <w:rPr>
          <w:rFonts w:ascii="Trebuchet MS" w:hAnsi="Trebuchet MS"/>
          <w:sz w:val="24"/>
          <w:szCs w:val="24"/>
        </w:rPr>
      </w:pPr>
      <w:r w:rsidRPr="003E7D40">
        <w:rPr>
          <w:rFonts w:ascii="Trebuchet MS" w:hAnsi="Trebuchet MS"/>
        </w:rPr>
        <w:t xml:space="preserve">En nuestro país la evolución de la responsabilidad de la Administración del Estado se ha desarrollado en una primera etapa fundamentalmente sobre la base de determinaciones jurisprudenciales y luego conforme a la legislación especial. La doctrina cita como los primeros fallos en que se sustentó la decisión sobre responsabilidad del Estado en principios del Derecho Público al caratulado Sociedad Fuschs y Plath con </w:t>
      </w:r>
      <w:r w:rsidR="00617EB6" w:rsidRPr="003E7D40">
        <w:rPr>
          <w:rFonts w:ascii="Trebuchet MS" w:hAnsi="Trebuchet MS"/>
        </w:rPr>
        <w:t>Fisco,</w:t>
      </w:r>
      <w:r w:rsidRPr="003E7D40">
        <w:rPr>
          <w:rFonts w:ascii="Trebuchet MS" w:hAnsi="Trebuchet MS"/>
        </w:rPr>
        <w:t xml:space="preserve"> sentencia de 11 de enero de 1908 y al denominado Lapostol con </w:t>
      </w:r>
      <w:r w:rsidR="00617EB6" w:rsidRPr="003E7D40">
        <w:rPr>
          <w:rFonts w:ascii="Trebuchet MS" w:hAnsi="Trebuchet MS"/>
        </w:rPr>
        <w:t>Fisco,</w:t>
      </w:r>
      <w:r w:rsidRPr="003E7D40">
        <w:rPr>
          <w:rFonts w:ascii="Trebuchet MS" w:hAnsi="Trebuchet MS"/>
        </w:rPr>
        <w:t xml:space="preserve"> sentencia de 8 de enero de 1930. Sin embargo, será en la sentencia dictada en Hexagón con Fisco , de 28 de julio de 1987, en que expresamente se declaran inaplicables las disposiciones del Código Civil para decidir la demanda dirigida contra el Fisco, resolviendo el caso sobre la base de las normas constitucionales y legales diversas al estatuto privado, de manera que se desestima la infracción del artículo 2332 del citado Código al no darle aplicación y se emplea las Actas Constitucionales N° 2 y 3 ; la Constitución Política de la República y la Ley Orgánica Constitucional N° 18.575, en que se radica el origen de la responsabilidad del Fisco.</w:t>
      </w:r>
      <w:r w:rsidR="003E7D40">
        <w:rPr>
          <w:rStyle w:val="Refdenotaalpie"/>
          <w:rFonts w:ascii="Trebuchet MS" w:hAnsi="Trebuchet MS"/>
        </w:rPr>
        <w:footnoteReference w:id="7"/>
      </w:r>
    </w:p>
    <w:p w14:paraId="72C8FBE8" w14:textId="5265E37A" w:rsidR="00CE17F6" w:rsidRDefault="000756B3" w:rsidP="00CE17F6">
      <w:pPr>
        <w:spacing w:line="240" w:lineRule="auto"/>
        <w:jc w:val="both"/>
        <w:rPr>
          <w:rFonts w:ascii="Trebuchet MS" w:hAnsi="Trebuchet MS"/>
        </w:rPr>
      </w:pPr>
      <w:r>
        <w:rPr>
          <w:rFonts w:ascii="Trebuchet MS" w:hAnsi="Trebuchet MS"/>
        </w:rPr>
        <w:t xml:space="preserve">En </w:t>
      </w:r>
      <w:r w:rsidR="00EE18BC" w:rsidRPr="009C31BC">
        <w:rPr>
          <w:rFonts w:ascii="Trebuchet MS" w:hAnsi="Trebuchet MS"/>
        </w:rPr>
        <w:t xml:space="preserve">Fuchs y Plath con </w:t>
      </w:r>
      <w:r w:rsidR="00617EB6" w:rsidRPr="009C31BC">
        <w:rPr>
          <w:rFonts w:ascii="Trebuchet MS" w:hAnsi="Trebuchet MS"/>
        </w:rPr>
        <w:t>Fisco,</w:t>
      </w:r>
      <w:r>
        <w:rPr>
          <w:rFonts w:ascii="Trebuchet MS" w:hAnsi="Trebuchet MS"/>
        </w:rPr>
        <w:t xml:space="preserve"> respeto de la labor de </w:t>
      </w:r>
      <w:r w:rsidR="00B0172B">
        <w:rPr>
          <w:rFonts w:ascii="Trebuchet MS" w:hAnsi="Trebuchet MS"/>
        </w:rPr>
        <w:t xml:space="preserve">las policías en el control del orden </w:t>
      </w:r>
      <w:r w:rsidR="00617EB6">
        <w:rPr>
          <w:rFonts w:ascii="Trebuchet MS" w:hAnsi="Trebuchet MS"/>
        </w:rPr>
        <w:t>público, en</w:t>
      </w:r>
      <w:r w:rsidR="00EE18BC" w:rsidRPr="009C31BC">
        <w:rPr>
          <w:rFonts w:ascii="Trebuchet MS" w:hAnsi="Trebuchet MS"/>
        </w:rPr>
        <w:t xml:space="preserve"> el considerando </w:t>
      </w:r>
      <w:r w:rsidR="00617EB6" w:rsidRPr="009C31BC">
        <w:rPr>
          <w:rFonts w:ascii="Trebuchet MS" w:hAnsi="Trebuchet MS"/>
        </w:rPr>
        <w:t>4</w:t>
      </w:r>
      <w:r w:rsidR="00617EB6">
        <w:rPr>
          <w:rFonts w:ascii="Trebuchet MS" w:hAnsi="Trebuchet MS"/>
        </w:rPr>
        <w:t xml:space="preserve">, </w:t>
      </w:r>
      <w:r w:rsidR="00617EB6" w:rsidRPr="009C31BC">
        <w:rPr>
          <w:rFonts w:ascii="Trebuchet MS" w:hAnsi="Trebuchet MS"/>
        </w:rPr>
        <w:t>la</w:t>
      </w:r>
      <w:r>
        <w:rPr>
          <w:rFonts w:ascii="Trebuchet MS" w:hAnsi="Trebuchet MS"/>
        </w:rPr>
        <w:t xml:space="preserve"> Corte Suprema señala</w:t>
      </w:r>
      <w:r w:rsidR="00EE18BC" w:rsidRPr="009C31BC">
        <w:rPr>
          <w:rFonts w:ascii="Trebuchet MS" w:hAnsi="Trebuchet MS"/>
        </w:rPr>
        <w:t xml:space="preserve"> «</w:t>
      </w:r>
      <w:r>
        <w:rPr>
          <w:rFonts w:ascii="Trebuchet MS" w:hAnsi="Trebuchet MS"/>
        </w:rPr>
        <w:t>q</w:t>
      </w:r>
      <w:r w:rsidR="00EE18BC" w:rsidRPr="009C31BC">
        <w:rPr>
          <w:rFonts w:ascii="Trebuchet MS" w:hAnsi="Trebuchet MS"/>
        </w:rPr>
        <w:t xml:space="preserve">ue el deber de la autoridad de mantener ante todo el orden público no la faculta para adoptar el primer medio que se le presente ni la exime de la obligación de concurrir, entre varios, a los que menos daños ocasionen al derecho de los particulares». </w:t>
      </w:r>
      <w:r w:rsidR="00B0172B">
        <w:rPr>
          <w:rFonts w:ascii="Trebuchet MS" w:hAnsi="Trebuchet MS"/>
        </w:rPr>
        <w:t xml:space="preserve">En </w:t>
      </w:r>
      <w:r w:rsidR="00EE18BC" w:rsidRPr="00B0172B">
        <w:rPr>
          <w:rFonts w:ascii="Trebuchet MS" w:hAnsi="Trebuchet MS"/>
        </w:rPr>
        <w:t xml:space="preserve">Hexagon Ltda. con Fisco se habla de «demasías funcionarias graves» en la conducta omisiva del órgano administrativo. </w:t>
      </w:r>
      <w:r w:rsidR="00B0172B">
        <w:rPr>
          <w:rFonts w:ascii="Trebuchet MS" w:hAnsi="Trebuchet MS"/>
        </w:rPr>
        <w:t xml:space="preserve">En </w:t>
      </w:r>
      <w:r w:rsidR="00EE18BC" w:rsidRPr="00B0172B">
        <w:rPr>
          <w:rFonts w:ascii="Trebuchet MS" w:hAnsi="Trebuchet MS"/>
        </w:rPr>
        <w:t>Tirado con Municipalidad de La Reina en el considerando 4</w:t>
      </w:r>
      <w:r w:rsidR="00617EB6" w:rsidRPr="00B0172B">
        <w:rPr>
          <w:rFonts w:ascii="Trebuchet MS" w:hAnsi="Trebuchet MS"/>
        </w:rPr>
        <w:t>°,</w:t>
      </w:r>
      <w:r w:rsidR="00B0172B">
        <w:rPr>
          <w:rFonts w:ascii="Trebuchet MS" w:hAnsi="Trebuchet MS"/>
        </w:rPr>
        <w:t xml:space="preserve"> </w:t>
      </w:r>
      <w:r w:rsidR="00EE18BC" w:rsidRPr="00B0172B">
        <w:rPr>
          <w:rFonts w:ascii="Trebuchet MS" w:hAnsi="Trebuchet MS"/>
        </w:rPr>
        <w:t xml:space="preserve">señala que «en otras palabras la Municipalidad demandada, a través de los organismos con que cuenta, no fue eficiente para desempeñar el servicio público de inspección recién indicado que debía prestar a la comunidad por mandato legal…». </w:t>
      </w:r>
      <w:r w:rsidR="00B0172B">
        <w:rPr>
          <w:rFonts w:ascii="Trebuchet MS" w:hAnsi="Trebuchet MS"/>
        </w:rPr>
        <w:t xml:space="preserve">En </w:t>
      </w:r>
      <w:r w:rsidR="00EE18BC" w:rsidRPr="00B0172B">
        <w:rPr>
          <w:rFonts w:ascii="Trebuchet MS" w:hAnsi="Trebuchet MS"/>
        </w:rPr>
        <w:t xml:space="preserve">Villegas Lorca con Municipalidad de Providencia </w:t>
      </w:r>
      <w:r w:rsidR="00342027">
        <w:rPr>
          <w:rFonts w:ascii="Trebuchet MS" w:hAnsi="Trebuchet MS"/>
        </w:rPr>
        <w:t xml:space="preserve">se concluye que </w:t>
      </w:r>
      <w:r w:rsidR="00EE18BC" w:rsidRPr="00B0172B">
        <w:rPr>
          <w:rFonts w:ascii="Trebuchet MS" w:hAnsi="Trebuchet MS"/>
        </w:rPr>
        <w:t xml:space="preserve">«conducen forzosamente a concluir que la causa inmediata del accidente antes referido consistió en la ausencia de señales de peligro adecuadas para el tránsito nocturno </w:t>
      </w:r>
      <w:r w:rsidR="00617EB6" w:rsidRPr="00B0172B">
        <w:rPr>
          <w:rFonts w:ascii="Trebuchet MS" w:hAnsi="Trebuchet MS"/>
        </w:rPr>
        <w:t>de acuerdo con</w:t>
      </w:r>
      <w:r w:rsidR="00EE18BC" w:rsidRPr="00B0172B">
        <w:rPr>
          <w:rFonts w:ascii="Trebuchet MS" w:hAnsi="Trebuchet MS"/>
        </w:rPr>
        <w:t xml:space="preserve"> las normas dispuestas…»</w:t>
      </w:r>
      <w:r w:rsidR="00413774">
        <w:rPr>
          <w:rStyle w:val="Refdenotaalpie"/>
          <w:rFonts w:ascii="Trebuchet MS" w:hAnsi="Trebuchet MS"/>
        </w:rPr>
        <w:footnoteReference w:id="8"/>
      </w:r>
      <w:r w:rsidR="00EE18BC" w:rsidRPr="00B0172B">
        <w:rPr>
          <w:rFonts w:ascii="Trebuchet MS" w:hAnsi="Trebuchet MS"/>
        </w:rPr>
        <w:t xml:space="preserve"> </w:t>
      </w:r>
      <w:r w:rsidR="00EE18BC">
        <w:rPr>
          <w:rFonts w:ascii="Trebuchet MS" w:hAnsi="Trebuchet MS"/>
        </w:rPr>
        <w:t>En todos estos casos subyace la idea de falta, ineficiencia o desproporcionalidad en el servicio, al hablarse de actuación ineficiente o en desapego a la normativa. Ello supone que exista un funcionamiento exigido a la Administración del Estado y que el hecho que causa el daño se aleje o no calce con dicho comportamiento.</w:t>
      </w:r>
    </w:p>
    <w:p w14:paraId="350B9F45" w14:textId="55CC9A42" w:rsidR="00C65572" w:rsidRPr="00413774" w:rsidRDefault="00C65572" w:rsidP="00CE17F6">
      <w:pPr>
        <w:spacing w:line="240" w:lineRule="auto"/>
        <w:jc w:val="both"/>
        <w:rPr>
          <w:rFonts w:ascii="Trebuchet MS" w:hAnsi="Trebuchet MS"/>
        </w:rPr>
      </w:pPr>
      <w:r w:rsidRPr="00413774">
        <w:rPr>
          <w:rFonts w:ascii="Trebuchet MS" w:hAnsi="Trebuchet MS"/>
        </w:rPr>
        <w:t xml:space="preserve">El paradigma que se ha reseñado, </w:t>
      </w:r>
      <w:r w:rsidR="00617EB6" w:rsidRPr="00413774">
        <w:rPr>
          <w:rFonts w:ascii="Trebuchet MS" w:hAnsi="Trebuchet MS"/>
        </w:rPr>
        <w:t>sobre la</w:t>
      </w:r>
      <w:r w:rsidRPr="00413774">
        <w:rPr>
          <w:rFonts w:ascii="Trebuchet MS" w:hAnsi="Trebuchet MS"/>
        </w:rPr>
        <w:t xml:space="preserve"> responsabilidad del Estado y del Estado Administrador en particular arranca de los artículos 1°, 2°, 4°, 5°, 6°, 7°, 38 de la Constitución Política de la República, 4° y 42 de la Ley 18.575.</w:t>
      </w:r>
    </w:p>
    <w:p w14:paraId="5A3AE4B7" w14:textId="77777777" w:rsidR="0087363A" w:rsidRDefault="0087363A" w:rsidP="00C65572">
      <w:pPr>
        <w:shd w:val="clear" w:color="auto" w:fill="FFFFFF"/>
        <w:spacing w:after="0" w:line="240" w:lineRule="auto"/>
        <w:jc w:val="both"/>
      </w:pPr>
    </w:p>
    <w:p w14:paraId="7F3A5AFF" w14:textId="77777777" w:rsidR="00B4101D" w:rsidRPr="00DB3431" w:rsidRDefault="0087363A" w:rsidP="007226A0">
      <w:pPr>
        <w:shd w:val="clear" w:color="auto" w:fill="FFFFFF"/>
        <w:spacing w:after="0" w:line="240" w:lineRule="auto"/>
        <w:jc w:val="both"/>
        <w:rPr>
          <w:rFonts w:ascii="Trebuchet MS" w:hAnsi="Trebuchet MS"/>
        </w:rPr>
      </w:pPr>
      <w:r w:rsidRPr="00DB3431">
        <w:rPr>
          <w:rFonts w:ascii="Trebuchet MS" w:hAnsi="Trebuchet MS"/>
        </w:rPr>
        <w:t>E</w:t>
      </w:r>
      <w:r w:rsidR="00C65572" w:rsidRPr="00DB3431">
        <w:rPr>
          <w:rFonts w:ascii="Trebuchet MS" w:hAnsi="Trebuchet MS"/>
        </w:rPr>
        <w:t>l inciso 2° del artículo 38 de la Constitución Política de la República, señala que “</w:t>
      </w:r>
      <w:r w:rsidRPr="00DB3431">
        <w:rPr>
          <w:rFonts w:ascii="Trebuchet MS" w:hAnsi="Trebuchet MS"/>
        </w:rPr>
        <w:t>c</w:t>
      </w:r>
      <w:r w:rsidR="00C65572" w:rsidRPr="00DB3431">
        <w:rPr>
          <w:rFonts w:ascii="Trebuchet MS" w:hAnsi="Trebuchet MS"/>
        </w:rPr>
        <w:t>ualquier persona que sea lesionada en sus derechos por la Administración del Estado, de sus organismos o de las municipalidades, podrá reclamar ante los tribunales que determine la ley, sin perjuicio de la responsabilidad que pudiere afectar al funcionario que hubiere causado el daño”</w:t>
      </w:r>
      <w:r w:rsidR="00A407E7" w:rsidRPr="00DB3431">
        <w:rPr>
          <w:rFonts w:ascii="Trebuchet MS" w:hAnsi="Trebuchet MS"/>
        </w:rPr>
        <w:t xml:space="preserve">. </w:t>
      </w:r>
      <w:r w:rsidR="00A407E7" w:rsidRPr="00A407E7">
        <w:rPr>
          <w:rFonts w:ascii="Trebuchet MS" w:hAnsi="Trebuchet MS"/>
        </w:rPr>
        <w:t>Ferrada</w:t>
      </w:r>
      <w:r w:rsidR="00A407E7" w:rsidRPr="00DB3431">
        <w:rPr>
          <w:rStyle w:val="Refdenotaalpie"/>
          <w:rFonts w:ascii="Trebuchet MS" w:hAnsi="Trebuchet MS"/>
        </w:rPr>
        <w:footnoteReference w:id="9"/>
      </w:r>
      <w:r w:rsidR="00A407E7" w:rsidRPr="00A407E7">
        <w:rPr>
          <w:rFonts w:ascii="Trebuchet MS" w:hAnsi="Trebuchet MS"/>
        </w:rPr>
        <w:t xml:space="preserve"> explica que, esta es una norma que no opta por un sistema específico de responsabilidad de la Administración y menos aun por uno de carácter objetivo, sino que establece un mínimo indisponible por el legislador, quien está llamado por la propia Constitución a modelar dicho sistema. Dicho mínimo exige</w:t>
      </w:r>
      <w:r w:rsidR="000E6155" w:rsidRPr="00DB3431">
        <w:rPr>
          <w:rFonts w:ascii="Trebuchet MS" w:hAnsi="Trebuchet MS"/>
        </w:rPr>
        <w:t>, q</w:t>
      </w:r>
      <w:r w:rsidR="00A407E7" w:rsidRPr="00A407E7">
        <w:rPr>
          <w:rFonts w:ascii="Trebuchet MS" w:hAnsi="Trebuchet MS"/>
        </w:rPr>
        <w:t xml:space="preserve">ue se verifique, para comprometer esa responsabilidad, al menos: lesión, actuación administrativa y relación de causalidad; </w:t>
      </w:r>
      <w:r w:rsidR="000E6155" w:rsidRPr="00DB3431">
        <w:rPr>
          <w:rFonts w:ascii="Trebuchet MS" w:hAnsi="Trebuchet MS"/>
        </w:rPr>
        <w:t>q</w:t>
      </w:r>
      <w:r w:rsidR="00A407E7" w:rsidRPr="00A407E7">
        <w:rPr>
          <w:rFonts w:ascii="Trebuchet MS" w:hAnsi="Trebuchet MS"/>
        </w:rPr>
        <w:t xml:space="preserve">ue </w:t>
      </w:r>
      <w:r w:rsidR="00A407E7" w:rsidRPr="001D2170">
        <w:rPr>
          <w:rFonts w:ascii="Trebuchet MS" w:hAnsi="Trebuchet MS"/>
        </w:rPr>
        <w:t xml:space="preserve">la lesión esté referida a derechos o intereses jurídicos, siempre que estos últimos sean ciertos y legítimos; </w:t>
      </w:r>
      <w:r w:rsidR="000E6155" w:rsidRPr="001D2170">
        <w:rPr>
          <w:rFonts w:ascii="Trebuchet MS" w:hAnsi="Trebuchet MS"/>
        </w:rPr>
        <w:t>q</w:t>
      </w:r>
      <w:r w:rsidR="00A407E7" w:rsidRPr="001D2170">
        <w:rPr>
          <w:rFonts w:ascii="Trebuchet MS" w:hAnsi="Trebuchet MS"/>
        </w:rPr>
        <w:t>ue esta responsabilidad siempre sea directa; y finalmente,</w:t>
      </w:r>
      <w:r w:rsidR="000E6155" w:rsidRPr="001D2170">
        <w:rPr>
          <w:rFonts w:ascii="Trebuchet MS" w:hAnsi="Trebuchet MS"/>
        </w:rPr>
        <w:t xml:space="preserve"> q</w:t>
      </w:r>
      <w:r w:rsidR="00A407E7" w:rsidRPr="001D2170">
        <w:rPr>
          <w:rFonts w:ascii="Trebuchet MS" w:hAnsi="Trebuchet MS"/>
        </w:rPr>
        <w:t>ue, para comprometerla, potencialmente apta es cualquier actuación, no</w:t>
      </w:r>
      <w:r w:rsidR="00A407E7" w:rsidRPr="00A407E7">
        <w:rPr>
          <w:rFonts w:ascii="Trebuchet MS" w:hAnsi="Trebuchet MS"/>
        </w:rPr>
        <w:t xml:space="preserve"> pudiendo, en consecuencia, el legislador ni el intérprete concederle a la Administración del Estado a priori márgenes o parcelas de irresponsabilidad. </w:t>
      </w:r>
      <w:r w:rsidR="000E6155" w:rsidRPr="00DB3431">
        <w:rPr>
          <w:rFonts w:ascii="Trebuchet MS" w:hAnsi="Trebuchet MS"/>
        </w:rPr>
        <w:t>Concluye B</w:t>
      </w:r>
      <w:r w:rsidR="004354E3" w:rsidRPr="00DB3431">
        <w:rPr>
          <w:rFonts w:ascii="Trebuchet MS" w:hAnsi="Trebuchet MS"/>
        </w:rPr>
        <w:t>ó</w:t>
      </w:r>
      <w:r w:rsidR="000E6155" w:rsidRPr="00DB3431">
        <w:rPr>
          <w:rFonts w:ascii="Trebuchet MS" w:hAnsi="Trebuchet MS"/>
        </w:rPr>
        <w:t>rquez, seña</w:t>
      </w:r>
      <w:r w:rsidR="004354E3" w:rsidRPr="00DB3431">
        <w:rPr>
          <w:rFonts w:ascii="Trebuchet MS" w:hAnsi="Trebuchet MS"/>
        </w:rPr>
        <w:t>lando que</w:t>
      </w:r>
      <w:r w:rsidR="00A407E7" w:rsidRPr="00A407E7">
        <w:rPr>
          <w:rFonts w:ascii="Trebuchet MS" w:hAnsi="Trebuchet MS"/>
        </w:rPr>
        <w:t xml:space="preserve">, en consecuencia, </w:t>
      </w:r>
      <w:r w:rsidR="004354E3" w:rsidRPr="00DB3431">
        <w:rPr>
          <w:rFonts w:ascii="Trebuchet MS" w:hAnsi="Trebuchet MS"/>
        </w:rPr>
        <w:t xml:space="preserve">corresponde </w:t>
      </w:r>
      <w:r w:rsidR="00A407E7" w:rsidRPr="00A407E7">
        <w:rPr>
          <w:rFonts w:ascii="Trebuchet MS" w:hAnsi="Trebuchet MS"/>
        </w:rPr>
        <w:t>al legislador, con pleno respeto al mínimo garantizado institucionalmente por el artículo 38 inciso 2" de la Constitución, establecer el sistema de responsabilidad patrimonial de la Administración.</w:t>
      </w:r>
      <w:r w:rsidR="007226A0" w:rsidRPr="00DB3431">
        <w:rPr>
          <w:rFonts w:ascii="Trebuchet MS" w:hAnsi="Trebuchet MS"/>
        </w:rPr>
        <w:t xml:space="preserve"> </w:t>
      </w:r>
    </w:p>
    <w:p w14:paraId="34F1BE95" w14:textId="77777777" w:rsidR="00B4101D" w:rsidRPr="00DB3431" w:rsidRDefault="00B4101D" w:rsidP="007226A0">
      <w:pPr>
        <w:shd w:val="clear" w:color="auto" w:fill="FFFFFF"/>
        <w:spacing w:after="0" w:line="240" w:lineRule="auto"/>
        <w:jc w:val="both"/>
        <w:rPr>
          <w:rFonts w:ascii="Trebuchet MS" w:hAnsi="Trebuchet MS"/>
        </w:rPr>
      </w:pPr>
    </w:p>
    <w:p w14:paraId="3F596596" w14:textId="6F30F661" w:rsidR="007226A0" w:rsidRPr="007226A0" w:rsidRDefault="00B4101D" w:rsidP="0076613B">
      <w:pPr>
        <w:spacing w:line="240" w:lineRule="auto"/>
        <w:jc w:val="both"/>
        <w:rPr>
          <w:rFonts w:ascii="Trebuchet MS" w:hAnsi="Trebuchet MS"/>
          <w:i/>
          <w:iCs/>
        </w:rPr>
      </w:pPr>
      <w:r w:rsidRPr="00DB3431">
        <w:rPr>
          <w:rFonts w:ascii="Trebuchet MS" w:hAnsi="Trebuchet MS"/>
        </w:rPr>
        <w:t xml:space="preserve">A partir de allí,  </w:t>
      </w:r>
      <w:r w:rsidR="00C65572" w:rsidRPr="00DB3431">
        <w:rPr>
          <w:rFonts w:ascii="Trebuchet MS" w:hAnsi="Trebuchet MS"/>
        </w:rPr>
        <w:t>el artículo 4</w:t>
      </w:r>
      <w:r w:rsidR="00306DD7" w:rsidRPr="00DB3431">
        <w:rPr>
          <w:rFonts w:ascii="Trebuchet MS" w:hAnsi="Trebuchet MS"/>
        </w:rPr>
        <w:t>°</w:t>
      </w:r>
      <w:r w:rsidR="00C65572" w:rsidRPr="00DB3431">
        <w:rPr>
          <w:rFonts w:ascii="Trebuchet MS" w:hAnsi="Trebuchet MS"/>
        </w:rPr>
        <w:t xml:space="preserve"> de la Ley Orgánica Constitucional de Bases Generales de la Administración del Estado</w:t>
      </w:r>
      <w:r w:rsidR="00306DD7" w:rsidRPr="00DB3431">
        <w:rPr>
          <w:rFonts w:ascii="Trebuchet MS" w:hAnsi="Trebuchet MS"/>
        </w:rPr>
        <w:t xml:space="preserve"> (en adelante</w:t>
      </w:r>
      <w:r w:rsidR="00EA7C3D" w:rsidRPr="00DB3431">
        <w:rPr>
          <w:rFonts w:ascii="Trebuchet MS" w:hAnsi="Trebuchet MS"/>
        </w:rPr>
        <w:t xml:space="preserve"> LOCBGAE) </w:t>
      </w:r>
      <w:r w:rsidR="004354E3" w:rsidRPr="00DB3431">
        <w:rPr>
          <w:rFonts w:ascii="Trebuchet MS" w:hAnsi="Trebuchet MS"/>
        </w:rPr>
        <w:t>e</w:t>
      </w:r>
      <w:r w:rsidR="004354E3" w:rsidRPr="00A407E7">
        <w:rPr>
          <w:rFonts w:ascii="Trebuchet MS" w:hAnsi="Trebuchet MS"/>
        </w:rPr>
        <w:t>stablece el sistema propio de responsabilidad de</w:t>
      </w:r>
      <w:r w:rsidR="00F15F35" w:rsidRPr="00DB3431">
        <w:rPr>
          <w:rFonts w:ascii="Trebuchet MS" w:hAnsi="Trebuchet MS"/>
        </w:rPr>
        <w:t xml:space="preserve"> </w:t>
      </w:r>
      <w:r w:rsidR="004354E3" w:rsidRPr="00A407E7">
        <w:rPr>
          <w:rFonts w:ascii="Trebuchet MS" w:hAnsi="Trebuchet MS"/>
        </w:rPr>
        <w:t>l</w:t>
      </w:r>
      <w:r w:rsidR="00C30BEE" w:rsidRPr="00DB3431">
        <w:rPr>
          <w:rFonts w:ascii="Trebuchet MS" w:hAnsi="Trebuchet MS"/>
        </w:rPr>
        <w:t xml:space="preserve">a Administración Publica </w:t>
      </w:r>
      <w:r w:rsidR="004354E3" w:rsidRPr="00A407E7">
        <w:rPr>
          <w:rFonts w:ascii="Trebuchet MS" w:hAnsi="Trebuchet MS"/>
        </w:rPr>
        <w:t xml:space="preserve"> como sistema especifico diferenciado de la responsabilidad funcionaria</w:t>
      </w:r>
      <w:r w:rsidR="004354E3" w:rsidRPr="00DB3431">
        <w:rPr>
          <w:rFonts w:ascii="Trebuchet MS" w:hAnsi="Trebuchet MS"/>
        </w:rPr>
        <w:t xml:space="preserve">, al </w:t>
      </w:r>
      <w:r w:rsidR="00C65572" w:rsidRPr="00DB3431">
        <w:rPr>
          <w:rFonts w:ascii="Trebuchet MS" w:hAnsi="Trebuchet MS"/>
        </w:rPr>
        <w:t>dispone</w:t>
      </w:r>
      <w:r w:rsidR="004354E3" w:rsidRPr="00DB3431">
        <w:rPr>
          <w:rFonts w:ascii="Trebuchet MS" w:hAnsi="Trebuchet MS"/>
        </w:rPr>
        <w:t>r</w:t>
      </w:r>
      <w:r w:rsidR="00C65572" w:rsidRPr="00DB3431">
        <w:rPr>
          <w:rFonts w:ascii="Trebuchet MS" w:hAnsi="Trebuchet MS"/>
        </w:rPr>
        <w:t xml:space="preserve"> que</w:t>
      </w:r>
      <w:r w:rsidRPr="00DB3431">
        <w:rPr>
          <w:rFonts w:ascii="Trebuchet MS" w:hAnsi="Trebuchet MS"/>
        </w:rPr>
        <w:t xml:space="preserve"> “el Estado será responsable por los daños que causen los órganos de la Administración en el ejercicio de sus funciones, sin perjuicio de las responsabilidades que pudieren afectar al funcionario que los hubiere ocasionado”</w:t>
      </w:r>
      <w:r w:rsidRPr="00DB3431">
        <w:rPr>
          <w:rFonts w:ascii="Trebuchet MS" w:hAnsi="Trebuchet MS"/>
          <w:i/>
          <w:iCs/>
        </w:rPr>
        <w:t xml:space="preserve">. </w:t>
      </w:r>
      <w:r w:rsidR="00F8428B" w:rsidRPr="00DB3431">
        <w:rPr>
          <w:rFonts w:ascii="Trebuchet MS" w:hAnsi="Trebuchet MS"/>
        </w:rPr>
        <w:t xml:space="preserve">Pero, de su tenor </w:t>
      </w:r>
      <w:r w:rsidR="00617EB6" w:rsidRPr="00DB3431">
        <w:rPr>
          <w:rFonts w:ascii="Trebuchet MS" w:hAnsi="Trebuchet MS"/>
        </w:rPr>
        <w:t>literal,</w:t>
      </w:r>
      <w:r w:rsidR="00F8428B" w:rsidRPr="00DB3431">
        <w:rPr>
          <w:rFonts w:ascii="Trebuchet MS" w:hAnsi="Trebuchet MS"/>
        </w:rPr>
        <w:t xml:space="preserve"> queda claro que no establece un sistema</w:t>
      </w:r>
      <w:r w:rsidR="00FD7CE4" w:rsidRPr="00DB3431">
        <w:rPr>
          <w:rFonts w:ascii="Trebuchet MS" w:hAnsi="Trebuchet MS"/>
        </w:rPr>
        <w:t xml:space="preserve"> </w:t>
      </w:r>
      <w:r w:rsidR="00F8428B" w:rsidRPr="00DB3431">
        <w:rPr>
          <w:rFonts w:ascii="Trebuchet MS" w:hAnsi="Trebuchet MS"/>
        </w:rPr>
        <w:t>espec</w:t>
      </w:r>
      <w:r w:rsidR="00FD7CE4" w:rsidRPr="00DB3431">
        <w:rPr>
          <w:rFonts w:ascii="Trebuchet MS" w:hAnsi="Trebuchet MS"/>
        </w:rPr>
        <w:t>íf</w:t>
      </w:r>
      <w:r w:rsidR="00F8428B" w:rsidRPr="00DB3431">
        <w:rPr>
          <w:rFonts w:ascii="Trebuchet MS" w:hAnsi="Trebuchet MS"/>
        </w:rPr>
        <w:t xml:space="preserve">ico </w:t>
      </w:r>
      <w:r w:rsidR="00FD7CE4" w:rsidRPr="00DB3431">
        <w:rPr>
          <w:rFonts w:ascii="Trebuchet MS" w:hAnsi="Trebuchet MS"/>
        </w:rPr>
        <w:t>de responsabilidad administrativa</w:t>
      </w:r>
      <w:r w:rsidR="0076613B" w:rsidRPr="00DB3431">
        <w:rPr>
          <w:rFonts w:ascii="Trebuchet MS" w:hAnsi="Trebuchet MS"/>
        </w:rPr>
        <w:t xml:space="preserve">. </w:t>
      </w:r>
      <w:r w:rsidR="00972CD7" w:rsidRPr="00DB3431">
        <w:rPr>
          <w:rFonts w:ascii="Trebuchet MS" w:hAnsi="Trebuchet MS"/>
        </w:rPr>
        <w:t xml:space="preserve">No obstante, el </w:t>
      </w:r>
      <w:r w:rsidR="00617EB6" w:rsidRPr="00DB3431">
        <w:rPr>
          <w:rFonts w:ascii="Trebuchet MS" w:hAnsi="Trebuchet MS"/>
        </w:rPr>
        <w:t>artículo 42</w:t>
      </w:r>
      <w:r w:rsidR="006E6D46" w:rsidRPr="00DB3431">
        <w:rPr>
          <w:rFonts w:ascii="Trebuchet MS" w:hAnsi="Trebuchet MS"/>
        </w:rPr>
        <w:t xml:space="preserve"> de la misma </w:t>
      </w:r>
      <w:r w:rsidR="00617EB6" w:rsidRPr="00DB3431">
        <w:rPr>
          <w:rFonts w:ascii="Trebuchet MS" w:hAnsi="Trebuchet MS"/>
        </w:rPr>
        <w:t>ley,</w:t>
      </w:r>
      <w:r w:rsidR="00EB1E6E" w:rsidRPr="00DB3431">
        <w:rPr>
          <w:rFonts w:ascii="Trebuchet MS" w:hAnsi="Trebuchet MS"/>
        </w:rPr>
        <w:t xml:space="preserve"> atribuye a la generalidad de los órganos administrativos responsabilidad por </w:t>
      </w:r>
      <w:r w:rsidR="0076613B" w:rsidRPr="00DB3431">
        <w:rPr>
          <w:rFonts w:ascii="Trebuchet MS" w:hAnsi="Trebuchet MS"/>
        </w:rPr>
        <w:t>concepto de falta de servicio</w:t>
      </w:r>
      <w:r w:rsidR="00617EB6" w:rsidRPr="00DB3431">
        <w:rPr>
          <w:rFonts w:ascii="Trebuchet MS" w:hAnsi="Trebuchet MS"/>
        </w:rPr>
        <w:t>: “</w:t>
      </w:r>
      <w:r w:rsidR="0087363A" w:rsidRPr="00DB3431">
        <w:rPr>
          <w:rFonts w:ascii="Trebuchet MS" w:hAnsi="Trebuchet MS"/>
        </w:rPr>
        <w:t>l</w:t>
      </w:r>
      <w:r w:rsidR="00C65572" w:rsidRPr="00DB3431">
        <w:rPr>
          <w:rFonts w:ascii="Trebuchet MS" w:hAnsi="Trebuchet MS"/>
        </w:rPr>
        <w:t xml:space="preserve">os órganos de la Administración serán responsables del daño que causen por falta de servicio. (…) No obstante, el Estado tendrá derecho a repetir en contra del funcionario que hubiere incurrido en falta personal”. </w:t>
      </w:r>
    </w:p>
    <w:p w14:paraId="1141AF6A" w14:textId="32FA06EA" w:rsidR="00C65572" w:rsidRPr="00DB3431" w:rsidRDefault="007226A0" w:rsidP="00BE1525">
      <w:pPr>
        <w:shd w:val="clear" w:color="auto" w:fill="FFFFFF"/>
        <w:spacing w:after="0" w:line="240" w:lineRule="auto"/>
        <w:jc w:val="both"/>
        <w:rPr>
          <w:rFonts w:ascii="Trebuchet MS" w:eastAsia="Times New Roman" w:hAnsi="Trebuchet MS" w:cs="Arial"/>
          <w:color w:val="212529"/>
          <w:lang w:eastAsia="es-CL"/>
        </w:rPr>
      </w:pPr>
      <w:r w:rsidRPr="007226A0">
        <w:rPr>
          <w:rFonts w:ascii="Trebuchet MS" w:hAnsi="Trebuchet MS"/>
        </w:rPr>
        <w:t xml:space="preserve">Esta norma es la única regla general que ha establecido un sistema de responsabilidad para la generalidad de los organismos que la integran, al exigir la ocurrencia del factor de atribución falta de servicio. Ello, sin perjuicio de las normas especiales que han configurado específicos subsistemas de responsabilidad patrimonial de la Administración del Estado, ya sea </w:t>
      </w:r>
      <w:proofErr w:type="gramStart"/>
      <w:r w:rsidRPr="007226A0">
        <w:rPr>
          <w:rFonts w:ascii="Trebuchet MS" w:hAnsi="Trebuchet MS"/>
        </w:rPr>
        <w:t>en razón de</w:t>
      </w:r>
      <w:proofErr w:type="gramEnd"/>
      <w:r w:rsidRPr="007226A0">
        <w:rPr>
          <w:rFonts w:ascii="Trebuchet MS" w:hAnsi="Trebuchet MS"/>
        </w:rPr>
        <w:t xml:space="preserve"> determinados órganos u actuaciones, por </w:t>
      </w:r>
      <w:r w:rsidR="00617EB6" w:rsidRPr="007226A0">
        <w:rPr>
          <w:rFonts w:ascii="Trebuchet MS" w:hAnsi="Trebuchet MS"/>
        </w:rPr>
        <w:t>ejemplo,</w:t>
      </w:r>
      <w:r w:rsidRPr="007226A0">
        <w:rPr>
          <w:rFonts w:ascii="Trebuchet MS" w:hAnsi="Trebuchet MS"/>
        </w:rPr>
        <w:t xml:space="preserve"> en </w:t>
      </w:r>
      <w:r w:rsidR="0076613B" w:rsidRPr="00DB3431">
        <w:rPr>
          <w:rFonts w:ascii="Trebuchet MS" w:hAnsi="Trebuchet MS"/>
        </w:rPr>
        <w:t>las normativas sectoriales como la Ley N° 19.966, que establece un régimen de garantías en salud, y la Ley N° 19.640, Orgánica Constitucional del Ministerio Público, entre muchas otras.</w:t>
      </w:r>
      <w:r w:rsidR="0076613B" w:rsidRPr="00DB3431">
        <w:rPr>
          <w:rStyle w:val="Refdenotaalpie"/>
          <w:rFonts w:ascii="Trebuchet MS" w:hAnsi="Trebuchet MS"/>
        </w:rPr>
        <w:footnoteReference w:id="10"/>
      </w:r>
    </w:p>
    <w:p w14:paraId="1C678C2D" w14:textId="77777777" w:rsidR="006A09E8" w:rsidRPr="006A09E8" w:rsidRDefault="006A09E8" w:rsidP="006A09E8">
      <w:pPr>
        <w:shd w:val="clear" w:color="auto" w:fill="FFFFFF"/>
        <w:spacing w:after="0" w:line="240" w:lineRule="auto"/>
        <w:jc w:val="both"/>
        <w:rPr>
          <w:rFonts w:ascii="Trebuchet MS" w:eastAsia="Times New Roman" w:hAnsi="Trebuchet MS" w:cs="Arial"/>
          <w:color w:val="212529"/>
          <w:lang w:eastAsia="es-CL"/>
        </w:rPr>
      </w:pPr>
    </w:p>
    <w:p w14:paraId="5BB79E80" w14:textId="70D71E68" w:rsidR="008074B2" w:rsidRDefault="00427FA8" w:rsidP="00F272E2">
      <w:pPr>
        <w:shd w:val="clear" w:color="auto" w:fill="FFFFFF"/>
        <w:spacing w:after="0" w:line="240" w:lineRule="auto"/>
        <w:jc w:val="both"/>
        <w:rPr>
          <w:rFonts w:ascii="Trebuchet MS" w:eastAsia="Times New Roman" w:hAnsi="Trebuchet MS" w:cs="Arial"/>
          <w:color w:val="212529"/>
          <w:lang w:eastAsia="es-CL"/>
        </w:rPr>
      </w:pPr>
      <w:r>
        <w:rPr>
          <w:rFonts w:ascii="Trebuchet MS" w:eastAsia="Times New Roman" w:hAnsi="Trebuchet MS" w:cs="Arial"/>
          <w:color w:val="212529"/>
          <w:lang w:eastAsia="es-CL"/>
        </w:rPr>
        <w:t>Conforme a l</w:t>
      </w:r>
      <w:r w:rsidR="006A09E8" w:rsidRPr="006A09E8">
        <w:rPr>
          <w:rFonts w:ascii="Trebuchet MS" w:eastAsia="Times New Roman" w:hAnsi="Trebuchet MS" w:cs="Arial"/>
          <w:color w:val="212529"/>
          <w:lang w:eastAsia="es-CL"/>
        </w:rPr>
        <w:t>a jurisprudencia de</w:t>
      </w:r>
      <w:r>
        <w:rPr>
          <w:rFonts w:ascii="Trebuchet MS" w:eastAsia="Times New Roman" w:hAnsi="Trebuchet MS" w:cs="Arial"/>
          <w:color w:val="212529"/>
          <w:lang w:eastAsia="es-CL"/>
        </w:rPr>
        <w:t xml:space="preserve"> </w:t>
      </w:r>
      <w:r w:rsidR="006A09E8" w:rsidRPr="006A09E8">
        <w:rPr>
          <w:rFonts w:ascii="Trebuchet MS" w:eastAsia="Times New Roman" w:hAnsi="Trebuchet MS" w:cs="Arial"/>
          <w:color w:val="212529"/>
          <w:lang w:eastAsia="es-CL"/>
        </w:rPr>
        <w:t>l</w:t>
      </w:r>
      <w:r w:rsidR="002D6AF0">
        <w:rPr>
          <w:rFonts w:ascii="Trebuchet MS" w:eastAsia="Times New Roman" w:hAnsi="Trebuchet MS" w:cs="Arial"/>
          <w:color w:val="212529"/>
          <w:lang w:eastAsia="es-CL"/>
        </w:rPr>
        <w:t xml:space="preserve">a Corte </w:t>
      </w:r>
      <w:r w:rsidR="009A328E">
        <w:rPr>
          <w:rFonts w:ascii="Trebuchet MS" w:eastAsia="Times New Roman" w:hAnsi="Trebuchet MS" w:cs="Arial"/>
          <w:color w:val="212529"/>
          <w:lang w:eastAsia="es-CL"/>
        </w:rPr>
        <w:t>Suprema</w:t>
      </w:r>
      <w:r w:rsidR="00D00E81">
        <w:rPr>
          <w:rFonts w:ascii="Trebuchet MS" w:eastAsia="Times New Roman" w:hAnsi="Trebuchet MS" w:cs="Arial"/>
          <w:color w:val="212529"/>
          <w:lang w:eastAsia="es-CL"/>
        </w:rPr>
        <w:t xml:space="preserve"> </w:t>
      </w:r>
      <w:r w:rsidR="009A328E">
        <w:rPr>
          <w:rFonts w:ascii="Trebuchet MS" w:eastAsia="Times New Roman" w:hAnsi="Trebuchet MS" w:cs="Arial"/>
          <w:color w:val="212529"/>
          <w:lang w:eastAsia="es-CL"/>
        </w:rPr>
        <w:t xml:space="preserve"> </w:t>
      </w:r>
      <w:r w:rsidR="00E92457">
        <w:rPr>
          <w:rFonts w:ascii="Trebuchet MS" w:eastAsia="Times New Roman" w:hAnsi="Trebuchet MS" w:cs="Arial"/>
          <w:color w:val="212529"/>
          <w:lang w:eastAsia="es-CL"/>
        </w:rPr>
        <w:t xml:space="preserve">los elementos que conforman </w:t>
      </w:r>
      <w:r w:rsidR="006A09E8" w:rsidRPr="006A09E8">
        <w:rPr>
          <w:rFonts w:ascii="Trebuchet MS" w:eastAsia="Times New Roman" w:hAnsi="Trebuchet MS" w:cs="Arial"/>
          <w:color w:val="212529"/>
          <w:lang w:eastAsia="es-CL"/>
        </w:rPr>
        <w:t xml:space="preserve">esta clase de responsabilidad son: </w:t>
      </w:r>
      <w:r w:rsidR="00BE231B">
        <w:rPr>
          <w:rFonts w:ascii="Trebuchet MS" w:eastAsia="Times New Roman" w:hAnsi="Trebuchet MS" w:cs="Arial"/>
          <w:color w:val="212529"/>
          <w:lang w:eastAsia="es-CL"/>
        </w:rPr>
        <w:t>Primero : “</w:t>
      </w:r>
      <w:r w:rsidR="001D2170">
        <w:rPr>
          <w:rFonts w:ascii="Trebuchet MS" w:eastAsia="Times New Roman" w:hAnsi="Trebuchet MS" w:cs="Arial"/>
          <w:color w:val="212529"/>
          <w:lang w:eastAsia="es-CL"/>
        </w:rPr>
        <w:t>e</w:t>
      </w:r>
      <w:r w:rsidR="006A09E8" w:rsidRPr="006A09E8">
        <w:rPr>
          <w:rFonts w:ascii="Trebuchet MS" w:eastAsia="Times New Roman" w:hAnsi="Trebuchet MS" w:cs="Arial"/>
          <w:color w:val="212529"/>
          <w:lang w:eastAsia="es-CL"/>
        </w:rPr>
        <w:t>l funcionamiento anormal del servicio o simplemente falta de servicio, pudiendo tratarse de una falta de la organización o defecto en el funcionamiento de ella, el cual puede tener su origen en una actuación jurídica ilegal sin perjuicio que no toda actuación ilegal constituye falta de servicio</w:t>
      </w:r>
      <w:r w:rsidR="00BE231B">
        <w:rPr>
          <w:rFonts w:ascii="Trebuchet MS" w:eastAsia="Times New Roman" w:hAnsi="Trebuchet MS" w:cs="Arial"/>
          <w:color w:val="212529"/>
          <w:lang w:eastAsia="es-CL"/>
        </w:rPr>
        <w:t xml:space="preserve">” </w:t>
      </w:r>
      <w:r w:rsidR="00BE231B">
        <w:rPr>
          <w:rStyle w:val="Refdenotaalpie"/>
          <w:rFonts w:ascii="Trebuchet MS" w:eastAsia="Times New Roman" w:hAnsi="Trebuchet MS" w:cs="Arial"/>
          <w:color w:val="212529"/>
          <w:lang w:eastAsia="es-CL"/>
        </w:rPr>
        <w:footnoteReference w:id="11"/>
      </w:r>
      <w:r w:rsidR="006A09E8" w:rsidRPr="006A09E8">
        <w:rPr>
          <w:rFonts w:ascii="Trebuchet MS" w:eastAsia="Times New Roman" w:hAnsi="Trebuchet MS" w:cs="Arial"/>
          <w:color w:val="212529"/>
          <w:lang w:eastAsia="es-CL"/>
        </w:rPr>
        <w:t xml:space="preserve">; </w:t>
      </w:r>
      <w:r w:rsidR="001D2170">
        <w:rPr>
          <w:rFonts w:ascii="Trebuchet MS" w:eastAsia="Times New Roman" w:hAnsi="Trebuchet MS" w:cs="Arial"/>
          <w:color w:val="212529"/>
          <w:lang w:eastAsia="es-CL"/>
        </w:rPr>
        <w:t>s</w:t>
      </w:r>
      <w:r w:rsidR="00BE231B">
        <w:rPr>
          <w:rFonts w:ascii="Trebuchet MS" w:eastAsia="Times New Roman" w:hAnsi="Trebuchet MS" w:cs="Arial"/>
          <w:color w:val="212529"/>
          <w:lang w:eastAsia="es-CL"/>
        </w:rPr>
        <w:t>egundo: “</w:t>
      </w:r>
      <w:r w:rsidR="001D2170">
        <w:rPr>
          <w:rFonts w:ascii="Trebuchet MS" w:eastAsia="Times New Roman" w:hAnsi="Trebuchet MS" w:cs="Arial"/>
          <w:color w:val="212529"/>
          <w:lang w:eastAsia="es-CL"/>
        </w:rPr>
        <w:t>e</w:t>
      </w:r>
      <w:r w:rsidR="006A09E8" w:rsidRPr="006A09E8">
        <w:rPr>
          <w:rFonts w:ascii="Trebuchet MS" w:eastAsia="Times New Roman" w:hAnsi="Trebuchet MS" w:cs="Arial"/>
          <w:color w:val="212529"/>
          <w:lang w:eastAsia="es-CL"/>
        </w:rPr>
        <w:t>l daño, esto es, que el actuar de la Administración haya ocasionado directamente un daño que no está amparado en una causal de justificación</w:t>
      </w:r>
      <w:r w:rsidR="00BE231B">
        <w:rPr>
          <w:rFonts w:ascii="Trebuchet MS" w:eastAsia="Times New Roman" w:hAnsi="Trebuchet MS" w:cs="Arial"/>
          <w:color w:val="212529"/>
          <w:lang w:eastAsia="es-CL"/>
        </w:rPr>
        <w:t xml:space="preserve">” </w:t>
      </w:r>
      <w:r w:rsidR="00BE231B">
        <w:rPr>
          <w:rStyle w:val="Refdenotaalpie"/>
          <w:rFonts w:ascii="Trebuchet MS" w:eastAsia="Times New Roman" w:hAnsi="Trebuchet MS" w:cs="Arial"/>
          <w:color w:val="212529"/>
          <w:lang w:eastAsia="es-CL"/>
        </w:rPr>
        <w:footnoteReference w:id="12"/>
      </w:r>
      <w:r w:rsidR="006A09E8" w:rsidRPr="006A09E8">
        <w:rPr>
          <w:rFonts w:ascii="Trebuchet MS" w:eastAsia="Times New Roman" w:hAnsi="Trebuchet MS" w:cs="Arial"/>
          <w:color w:val="212529"/>
          <w:lang w:eastAsia="es-CL"/>
        </w:rPr>
        <w:t>, y;</w:t>
      </w:r>
      <w:r w:rsidR="001D2170">
        <w:rPr>
          <w:rFonts w:ascii="Trebuchet MS" w:eastAsia="Times New Roman" w:hAnsi="Trebuchet MS" w:cs="Arial"/>
          <w:color w:val="212529"/>
          <w:lang w:eastAsia="es-CL"/>
        </w:rPr>
        <w:t xml:space="preserve"> t</w:t>
      </w:r>
      <w:r w:rsidR="00F272E2">
        <w:rPr>
          <w:rFonts w:ascii="Trebuchet MS" w:eastAsia="Times New Roman" w:hAnsi="Trebuchet MS" w:cs="Arial"/>
          <w:color w:val="212529"/>
          <w:lang w:eastAsia="es-CL"/>
        </w:rPr>
        <w:t>ercero: “</w:t>
      </w:r>
      <w:r w:rsidR="001D2170">
        <w:rPr>
          <w:rFonts w:ascii="Trebuchet MS" w:eastAsia="Times New Roman" w:hAnsi="Trebuchet MS" w:cs="Arial"/>
          <w:color w:val="212529"/>
          <w:lang w:eastAsia="es-CL"/>
        </w:rPr>
        <w:t>e</w:t>
      </w:r>
      <w:r w:rsidR="006A09E8" w:rsidRPr="006A09E8">
        <w:rPr>
          <w:rFonts w:ascii="Trebuchet MS" w:eastAsia="Times New Roman" w:hAnsi="Trebuchet MS" w:cs="Arial"/>
          <w:color w:val="212529"/>
          <w:lang w:eastAsia="es-CL"/>
        </w:rPr>
        <w:t>l nexo causal, esto es, debe existir una relación de causalidad directa entre la actuación de la Administración del Estado y el daño sufrido, debiendo tener el hecho que ocasiona el daño una cierta aptitud, en cuanto debe ser capaz para producir el daño que se reclama”</w:t>
      </w:r>
      <w:r w:rsidR="005B52FB">
        <w:rPr>
          <w:rStyle w:val="Refdenotaalpie"/>
          <w:rFonts w:ascii="Trebuchet MS" w:eastAsia="Times New Roman" w:hAnsi="Trebuchet MS" w:cs="Arial"/>
          <w:color w:val="212529"/>
          <w:lang w:eastAsia="es-CL"/>
        </w:rPr>
        <w:footnoteReference w:id="13"/>
      </w:r>
      <w:r w:rsidR="006A09E8" w:rsidRPr="006A09E8">
        <w:rPr>
          <w:rFonts w:ascii="Trebuchet MS" w:eastAsia="Times New Roman" w:hAnsi="Trebuchet MS" w:cs="Arial"/>
          <w:color w:val="212529"/>
          <w:lang w:eastAsia="es-CL"/>
        </w:rPr>
        <w:t>.</w:t>
      </w:r>
    </w:p>
    <w:p w14:paraId="2C140D66" w14:textId="77777777" w:rsidR="008074B2" w:rsidRDefault="008074B2" w:rsidP="00F272E2">
      <w:pPr>
        <w:shd w:val="clear" w:color="auto" w:fill="FFFFFF"/>
        <w:spacing w:after="0" w:line="240" w:lineRule="auto"/>
        <w:jc w:val="both"/>
        <w:rPr>
          <w:rFonts w:ascii="Trebuchet MS" w:eastAsia="Times New Roman" w:hAnsi="Trebuchet MS" w:cs="Arial"/>
          <w:color w:val="212529"/>
          <w:lang w:eastAsia="es-CL"/>
        </w:rPr>
      </w:pPr>
    </w:p>
    <w:p w14:paraId="672584BA" w14:textId="169B4BD8" w:rsidR="00C6580C" w:rsidRPr="008074B2" w:rsidRDefault="006A09E8" w:rsidP="008074B2">
      <w:pPr>
        <w:pStyle w:val="Prrafodelista"/>
        <w:numPr>
          <w:ilvl w:val="0"/>
          <w:numId w:val="24"/>
        </w:numPr>
        <w:shd w:val="clear" w:color="auto" w:fill="FFFFFF"/>
        <w:spacing w:after="0" w:line="240" w:lineRule="auto"/>
        <w:ind w:hanging="1440"/>
        <w:jc w:val="both"/>
        <w:rPr>
          <w:rFonts w:ascii="Trebuchet MS" w:eastAsia="Times New Roman" w:hAnsi="Trebuchet MS" w:cs="Arial"/>
          <w:color w:val="212529"/>
          <w:lang w:eastAsia="es-CL"/>
        </w:rPr>
      </w:pPr>
      <w:r w:rsidRPr="008074B2">
        <w:rPr>
          <w:rFonts w:ascii="Trebuchet MS" w:eastAsia="Times New Roman" w:hAnsi="Trebuchet MS" w:cs="Arial"/>
          <w:color w:val="212529"/>
          <w:lang w:eastAsia="es-CL"/>
        </w:rPr>
        <w:t xml:space="preserve"> </w:t>
      </w:r>
      <w:r w:rsidR="00C6580C" w:rsidRPr="008074B2">
        <w:rPr>
          <w:rFonts w:ascii="Trebuchet MS" w:hAnsi="Trebuchet MS"/>
          <w:u w:val="single"/>
        </w:rPr>
        <w:t>Falta de Reglamentación particular y suficiente</w:t>
      </w:r>
      <w:r w:rsidR="008074B2">
        <w:rPr>
          <w:rFonts w:ascii="Trebuchet MS" w:hAnsi="Trebuchet MS"/>
          <w:u w:val="single"/>
        </w:rPr>
        <w:t>.</w:t>
      </w:r>
    </w:p>
    <w:p w14:paraId="5EB96207" w14:textId="77777777" w:rsidR="008074B2" w:rsidRPr="008074B2" w:rsidRDefault="008074B2" w:rsidP="008074B2">
      <w:pPr>
        <w:pStyle w:val="Prrafodelista"/>
        <w:shd w:val="clear" w:color="auto" w:fill="FFFFFF"/>
        <w:spacing w:after="0" w:line="240" w:lineRule="auto"/>
        <w:ind w:left="1440"/>
        <w:jc w:val="both"/>
        <w:rPr>
          <w:rFonts w:ascii="Trebuchet MS" w:eastAsia="Times New Roman" w:hAnsi="Trebuchet MS" w:cs="Arial"/>
          <w:color w:val="212529"/>
          <w:lang w:eastAsia="es-CL"/>
        </w:rPr>
      </w:pPr>
    </w:p>
    <w:p w14:paraId="2561AE76" w14:textId="77777777" w:rsidR="00C6580C" w:rsidRPr="00DB3431" w:rsidRDefault="00C6580C" w:rsidP="00C6580C">
      <w:pPr>
        <w:spacing w:line="240" w:lineRule="auto"/>
        <w:jc w:val="both"/>
        <w:rPr>
          <w:rFonts w:ascii="Trebuchet MS" w:hAnsi="Trebuchet MS"/>
        </w:rPr>
      </w:pPr>
      <w:r w:rsidRPr="00DB3431">
        <w:rPr>
          <w:rFonts w:ascii="Trebuchet MS" w:hAnsi="Trebuchet MS"/>
        </w:rPr>
        <w:t xml:space="preserve">Sin perjuicio de lo anterior, las normas que, actualmente regulan la responsabilidad de la Administración del Estado son escasas y excesivamente genéricas, ya que no establecen con precisión cuáles son, en definitiva, los presupuestos cuya ocurrencia hacen procedente dicha responsabilidad. </w:t>
      </w:r>
    </w:p>
    <w:p w14:paraId="2F6EA502" w14:textId="77777777" w:rsidR="00C6580C" w:rsidRPr="00DB3431" w:rsidRDefault="00C6580C" w:rsidP="00C6580C">
      <w:pPr>
        <w:spacing w:line="240" w:lineRule="auto"/>
        <w:jc w:val="both"/>
        <w:rPr>
          <w:rFonts w:ascii="Trebuchet MS" w:hAnsi="Trebuchet MS"/>
        </w:rPr>
      </w:pPr>
      <w:r w:rsidRPr="00DB3431">
        <w:rPr>
          <w:rFonts w:ascii="Trebuchet MS" w:hAnsi="Trebuchet MS"/>
        </w:rPr>
        <w:t>“Forzoso es reconocerlo”, señaló la Corte  de Apelaciones de Santiago en fallo Patosí Zambrano con Fisco de Chile precisando que "los cuerpos normativos en que se encuentra su consagración originaria (artículo 38 de la Constitución Política de la República, y artículos 4" y 42' de la LOCBGAE) omiten del todo establecer una reglamentación particular y suficiente en lo que concierne, entre otros importantes aspectos, a las características específicas de la acción indemnizatoria que emana de la responsabilidad en comento"</w:t>
      </w:r>
      <w:r w:rsidRPr="00DB3431">
        <w:rPr>
          <w:rStyle w:val="Refdenotaalpie"/>
          <w:rFonts w:ascii="Trebuchet MS" w:hAnsi="Trebuchet MS"/>
        </w:rPr>
        <w:footnoteReference w:id="14"/>
      </w:r>
      <w:r w:rsidRPr="00DB3431">
        <w:rPr>
          <w:rFonts w:ascii="Trebuchet MS" w:hAnsi="Trebuchet MS"/>
        </w:rPr>
        <w:t xml:space="preserve">. </w:t>
      </w:r>
    </w:p>
    <w:p w14:paraId="792DE58D" w14:textId="77777777" w:rsidR="00056F74" w:rsidRPr="00DB3431" w:rsidRDefault="00C6580C" w:rsidP="00C6580C">
      <w:pPr>
        <w:spacing w:line="240" w:lineRule="auto"/>
        <w:jc w:val="both"/>
        <w:rPr>
          <w:rFonts w:ascii="Trebuchet MS" w:hAnsi="Trebuchet MS"/>
        </w:rPr>
      </w:pPr>
      <w:r w:rsidRPr="00DB3431">
        <w:rPr>
          <w:rFonts w:ascii="Trebuchet MS" w:hAnsi="Trebuchet MS"/>
        </w:rPr>
        <w:t xml:space="preserve">Ello ha permitido a la doctrina elaborar posiciones no sólo contradictorias, sino excluyentes, y, además, ha otorgado al juez un ilimitado margen interpretativo en esta materia. </w:t>
      </w:r>
      <w:r w:rsidR="00002E1A" w:rsidRPr="00DB3431">
        <w:rPr>
          <w:rFonts w:ascii="Trebuchet MS" w:hAnsi="Trebuchet MS"/>
        </w:rPr>
        <w:t>La Corte Suprema ha  consignado en sus fallos  que “</w:t>
      </w:r>
      <w:r w:rsidR="00841D20" w:rsidRPr="00DB3431">
        <w:rPr>
          <w:rFonts w:ascii="Trebuchet MS" w:hAnsi="Trebuchet MS"/>
        </w:rPr>
        <w:t>[…]</w:t>
      </w:r>
      <w:r w:rsidR="00002E1A" w:rsidRPr="00DB3431">
        <w:rPr>
          <w:rFonts w:ascii="Trebuchet MS" w:hAnsi="Trebuchet MS"/>
        </w:rPr>
        <w:t>la falta de servicio constituye un sistema de responsabilidad de la Administración del Estado construido dogmática y jurisprudencialmente en base a lo preceptuado por los artículos 6, 7 y 38 de la Constitución Política de la Republica, así como en base a otras normas infra constitucionales, dentro de las cuales se encuentra la del artículo 44 de la Ley de Bases Generales de la Administración del Estado</w:t>
      </w:r>
      <w:r w:rsidR="00056F74" w:rsidRPr="00DB3431">
        <w:rPr>
          <w:rFonts w:ascii="Trebuchet MS" w:hAnsi="Trebuchet MS"/>
        </w:rPr>
        <w:t>[…]”</w:t>
      </w:r>
      <w:r w:rsidR="00002E1A" w:rsidRPr="00DB3431">
        <w:rPr>
          <w:rFonts w:ascii="Trebuchet MS" w:hAnsi="Trebuchet MS"/>
        </w:rPr>
        <w:t xml:space="preserve"> </w:t>
      </w:r>
      <w:r w:rsidR="00056F74" w:rsidRPr="00DB3431">
        <w:rPr>
          <w:rStyle w:val="Refdenotaalpie"/>
          <w:rFonts w:ascii="Trebuchet MS" w:hAnsi="Trebuchet MS"/>
        </w:rPr>
        <w:footnoteReference w:id="15"/>
      </w:r>
      <w:r w:rsidR="00056F74" w:rsidRPr="00DB3431">
        <w:rPr>
          <w:rFonts w:ascii="Trebuchet MS" w:hAnsi="Trebuchet MS"/>
        </w:rPr>
        <w:t>.</w:t>
      </w:r>
      <w:r w:rsidRPr="00DB3431">
        <w:rPr>
          <w:rFonts w:ascii="Trebuchet MS" w:hAnsi="Trebuchet MS"/>
        </w:rPr>
        <w:t xml:space="preserve">En otras palabras, es el juez, y no el constituyente ni el legislador, quien, finalmente, modela, para cada caso, el sistema de responsabilidad la Administración del Estado en Chile. </w:t>
      </w:r>
    </w:p>
    <w:p w14:paraId="42BD03C9" w14:textId="3027C1D5" w:rsidR="00C6580C" w:rsidRPr="00DB3431" w:rsidRDefault="00C6580C" w:rsidP="00C6580C">
      <w:pPr>
        <w:spacing w:line="240" w:lineRule="auto"/>
        <w:jc w:val="both"/>
        <w:rPr>
          <w:rFonts w:ascii="Trebuchet MS" w:hAnsi="Trebuchet MS"/>
        </w:rPr>
      </w:pPr>
      <w:r w:rsidRPr="00DB3431">
        <w:rPr>
          <w:rFonts w:ascii="Trebuchet MS" w:hAnsi="Trebuchet MS"/>
        </w:rPr>
        <w:t>Ferrada señala que existe “una acusada carencia en nuestra legislación y doctrina de respuestas adecuadas al problema de los daños derivados de la actividad administrativa del Estado […] sin fundamento normativo expreso y con una cláusula legal de responsabilidad por falta, traída de la jurisprudencia francesa, pero con un alcance limitado respecto de la organización administrativa</w:t>
      </w:r>
      <w:r w:rsidR="002C3965" w:rsidRPr="00DB3431">
        <w:rPr>
          <w:rFonts w:ascii="Trebuchet MS" w:hAnsi="Trebuchet MS"/>
        </w:rPr>
        <w:t>”</w:t>
      </w:r>
      <w:r w:rsidRPr="00DB3431">
        <w:rPr>
          <w:rFonts w:ascii="Trebuchet MS" w:hAnsi="Trebuchet MS"/>
        </w:rPr>
        <w:t xml:space="preserve">. En el mismo sentido, Cordero agrega que “la manera como la Corte Suprema ha enfrentado los temas de responsabilidad evidentemente </w:t>
      </w:r>
      <w:r w:rsidR="00617EB6" w:rsidRPr="00DB3431">
        <w:rPr>
          <w:rFonts w:ascii="Trebuchet MS" w:hAnsi="Trebuchet MS"/>
        </w:rPr>
        <w:t>resulta</w:t>
      </w:r>
      <w:r w:rsidRPr="00DB3431">
        <w:rPr>
          <w:rFonts w:ascii="Trebuchet MS" w:hAnsi="Trebuchet MS"/>
        </w:rPr>
        <w:t xml:space="preserve"> cambiantes, entre otras razones por lo imprecisa e indeterminada de nuestra regulación legal, y porque, además, se enfrentan a problemas directamente vinculados a la forma y modo en que el Estado y los ciudadanos deben compartir los infortunios, no sólo ilícitos, sino que también los lícitos".</w:t>
      </w:r>
    </w:p>
    <w:p w14:paraId="24CF97FD" w14:textId="720C1C11" w:rsidR="00C6580C" w:rsidRDefault="00170EBA" w:rsidP="00DB3431">
      <w:pPr>
        <w:jc w:val="both"/>
        <w:rPr>
          <w:rFonts w:ascii="Trebuchet MS" w:hAnsi="Trebuchet MS"/>
        </w:rPr>
      </w:pPr>
      <w:r w:rsidRPr="00DB3431">
        <w:rPr>
          <w:rFonts w:ascii="Trebuchet MS" w:hAnsi="Trebuchet MS"/>
        </w:rPr>
        <w:t xml:space="preserve">Concuerda con ello el </w:t>
      </w:r>
      <w:proofErr w:type="gramStart"/>
      <w:r w:rsidRPr="00DB3431">
        <w:rPr>
          <w:rFonts w:ascii="Trebuchet MS" w:hAnsi="Trebuchet MS"/>
        </w:rPr>
        <w:t>Ministro</w:t>
      </w:r>
      <w:proofErr w:type="gramEnd"/>
      <w:r w:rsidRPr="00DB3431">
        <w:rPr>
          <w:rFonts w:ascii="Trebuchet MS" w:hAnsi="Trebuchet MS"/>
        </w:rPr>
        <w:t xml:space="preserve"> de la Corte Suprema, Sergio Muñoz, quien en sostenidas prevenciones ha dado cuenta de los problemas interpretación que existen en la materia</w:t>
      </w:r>
      <w:r w:rsidR="00056F74" w:rsidRPr="00DB3431">
        <w:rPr>
          <w:rFonts w:ascii="Trebuchet MS" w:hAnsi="Trebuchet MS"/>
        </w:rPr>
        <w:t xml:space="preserve">. El </w:t>
      </w:r>
      <w:r w:rsidR="00617EB6" w:rsidRPr="00DB3431">
        <w:rPr>
          <w:rFonts w:ascii="Trebuchet MS" w:hAnsi="Trebuchet MS"/>
        </w:rPr>
        <w:t>magistrado manifiesta</w:t>
      </w:r>
      <w:r w:rsidRPr="00DB3431">
        <w:rPr>
          <w:rFonts w:ascii="Trebuchet MS" w:hAnsi="Trebuchet MS"/>
        </w:rPr>
        <w:t xml:space="preserve"> que “Todos sostienen que se trata de un sistema de responsabilidad de Derecho Público, puesto que se rige por principios propios (…) [Sin embargo,] la distinción se encuentra en los extremos que importa esta afirmación, puesto que unos la observan desde la perspectiva de las personas, del administrado, y otros desde la Administración”</w:t>
      </w:r>
      <w:r w:rsidR="00C63E83" w:rsidRPr="00DB3431">
        <w:rPr>
          <w:rStyle w:val="Refdenotaalpie"/>
          <w:rFonts w:ascii="Trebuchet MS" w:hAnsi="Trebuchet MS"/>
        </w:rPr>
        <w:footnoteReference w:id="16"/>
      </w:r>
      <w:r w:rsidRPr="00DB3431">
        <w:rPr>
          <w:rFonts w:ascii="Trebuchet MS" w:hAnsi="Trebuchet MS"/>
        </w:rPr>
        <w:t xml:space="preserve"> . </w:t>
      </w:r>
      <w:r w:rsidR="00C63E83" w:rsidRPr="00DB3431">
        <w:rPr>
          <w:rFonts w:ascii="Trebuchet MS" w:hAnsi="Trebuchet MS"/>
        </w:rPr>
        <w:t xml:space="preserve"> </w:t>
      </w:r>
      <w:r w:rsidR="00617EB6" w:rsidRPr="00DB3431">
        <w:rPr>
          <w:rFonts w:ascii="Trebuchet MS" w:hAnsi="Trebuchet MS"/>
        </w:rPr>
        <w:t>Así,</w:t>
      </w:r>
      <w:r w:rsidR="00A86031" w:rsidRPr="00DB3431">
        <w:rPr>
          <w:rFonts w:ascii="Trebuchet MS" w:hAnsi="Trebuchet MS"/>
        </w:rPr>
        <w:t xml:space="preserve"> </w:t>
      </w:r>
      <w:r w:rsidRPr="00DB3431">
        <w:rPr>
          <w:rFonts w:ascii="Trebuchet MS" w:hAnsi="Trebuchet MS"/>
        </w:rPr>
        <w:t>“(…) se abordan los requisitos de la responsabilidad difiriendo en el factor de imputabilidad. Aquellos exigen o demandan solamente la existencia de un daño o lesión en los derechos respecto del administrado, excluyendo la mirada respecto del comportamiento de la Administración y los segundos la incluyen</w:t>
      </w:r>
      <w:r w:rsidR="00A86031" w:rsidRPr="00DB3431">
        <w:rPr>
          <w:rFonts w:ascii="Trebuchet MS" w:hAnsi="Trebuchet MS"/>
        </w:rPr>
        <w:t>”</w:t>
      </w:r>
      <w:r w:rsidR="00A86031" w:rsidRPr="00DB3431">
        <w:rPr>
          <w:rStyle w:val="Refdenotaalpie"/>
          <w:rFonts w:ascii="Trebuchet MS" w:hAnsi="Trebuchet MS"/>
        </w:rPr>
        <w:footnoteReference w:id="17"/>
      </w:r>
      <w:r w:rsidRPr="00DB3431">
        <w:rPr>
          <w:rFonts w:ascii="Trebuchet MS" w:hAnsi="Trebuchet MS"/>
        </w:rPr>
        <w:t xml:space="preserve">. </w:t>
      </w:r>
      <w:r w:rsidR="00611E87" w:rsidRPr="00DB3431">
        <w:rPr>
          <w:rFonts w:ascii="Trebuchet MS" w:hAnsi="Trebuchet MS"/>
        </w:rPr>
        <w:t xml:space="preserve">Precisa </w:t>
      </w:r>
      <w:r w:rsidR="00617EB6" w:rsidRPr="00DB3431">
        <w:rPr>
          <w:rFonts w:ascii="Trebuchet MS" w:hAnsi="Trebuchet MS"/>
        </w:rPr>
        <w:t>que,</w:t>
      </w:r>
      <w:r w:rsidR="00611E87" w:rsidRPr="00DB3431">
        <w:rPr>
          <w:rFonts w:ascii="Trebuchet MS" w:hAnsi="Trebuchet MS"/>
        </w:rPr>
        <w:t xml:space="preserve"> </w:t>
      </w:r>
      <w:r w:rsidR="00E42D7A" w:rsidRPr="00DB3431">
        <w:rPr>
          <w:rFonts w:ascii="Trebuchet MS" w:hAnsi="Trebuchet MS"/>
        </w:rPr>
        <w:t>en el segundo caso, s</w:t>
      </w:r>
      <w:r w:rsidRPr="00DB3431">
        <w:rPr>
          <w:rFonts w:ascii="Trebuchet MS" w:hAnsi="Trebuchet MS"/>
        </w:rPr>
        <w:t xml:space="preserve">urge la conceptualización de la responsabilidad de la Administración </w:t>
      </w:r>
      <w:r w:rsidR="00E42D7A" w:rsidRPr="00DB3431">
        <w:rPr>
          <w:rFonts w:ascii="Trebuchet MS" w:hAnsi="Trebuchet MS"/>
        </w:rPr>
        <w:t>“</w:t>
      </w:r>
      <w:r w:rsidRPr="00DB3431">
        <w:rPr>
          <w:rFonts w:ascii="Trebuchet MS" w:hAnsi="Trebuchet MS"/>
        </w:rPr>
        <w:t>como una organización, que corresponde investigar en cuanto a su funcionamiento y la forma en que entrega el servicio que presta a los administrados. Surge la noción de falta de servicio (faute de service), pero esta también produce divergencias”</w:t>
      </w:r>
      <w:r w:rsidR="00E42D7A" w:rsidRPr="00DB3431">
        <w:rPr>
          <w:rStyle w:val="Refdenotaalpie"/>
          <w:rFonts w:ascii="Trebuchet MS" w:hAnsi="Trebuchet MS"/>
        </w:rPr>
        <w:footnoteReference w:id="18"/>
      </w:r>
      <w:r w:rsidRPr="00DB3431">
        <w:rPr>
          <w:rFonts w:ascii="Trebuchet MS" w:hAnsi="Trebuchet MS"/>
        </w:rPr>
        <w:t xml:space="preserve">. </w:t>
      </w:r>
      <w:r w:rsidR="00E42D7A" w:rsidRPr="00DB3431">
        <w:rPr>
          <w:rFonts w:ascii="Trebuchet MS" w:hAnsi="Trebuchet MS"/>
        </w:rPr>
        <w:t>Concluye</w:t>
      </w:r>
      <w:r w:rsidR="00DB3431" w:rsidRPr="00DB3431">
        <w:rPr>
          <w:rFonts w:ascii="Trebuchet MS" w:hAnsi="Trebuchet MS"/>
        </w:rPr>
        <w:t xml:space="preserve"> entonces</w:t>
      </w:r>
      <w:r w:rsidR="00DB3431">
        <w:rPr>
          <w:rFonts w:ascii="Trebuchet MS" w:hAnsi="Trebuchet MS"/>
        </w:rPr>
        <w:t>, que</w:t>
      </w:r>
      <w:r w:rsidR="00DB3431" w:rsidRPr="00DB3431">
        <w:rPr>
          <w:rFonts w:ascii="Trebuchet MS" w:hAnsi="Trebuchet MS"/>
        </w:rPr>
        <w:t xml:space="preserve"> existe un desafío que “simplificando el problema […] </w:t>
      </w:r>
      <w:r w:rsidRPr="00DB3431">
        <w:rPr>
          <w:rFonts w:ascii="Trebuchet MS" w:hAnsi="Trebuchet MS"/>
        </w:rPr>
        <w:t>se plantea desde una perspectiva sustancial y procesal, puesto que es necesario conceptualizar este módulo de imputación y determinar en qué parte radica su acreditación”</w:t>
      </w:r>
      <w:r w:rsidR="00DB3431" w:rsidRPr="00DB3431">
        <w:rPr>
          <w:rStyle w:val="Refdenotaalpie"/>
          <w:rFonts w:ascii="Trebuchet MS" w:hAnsi="Trebuchet MS"/>
        </w:rPr>
        <w:footnoteReference w:id="19"/>
      </w:r>
      <w:r w:rsidRPr="00DB3431">
        <w:rPr>
          <w:rFonts w:ascii="Trebuchet MS" w:hAnsi="Trebuchet MS"/>
        </w:rPr>
        <w:t>.</w:t>
      </w:r>
    </w:p>
    <w:p w14:paraId="249D9F63" w14:textId="77777777" w:rsidR="006C3AFD" w:rsidRPr="00035E97" w:rsidRDefault="006C3AFD" w:rsidP="00C622F1">
      <w:pPr>
        <w:jc w:val="both"/>
        <w:rPr>
          <w:rFonts w:ascii="Trebuchet MS" w:hAnsi="Trebuchet MS"/>
          <w:sz w:val="12"/>
          <w:szCs w:val="12"/>
        </w:rPr>
      </w:pPr>
    </w:p>
    <w:p w14:paraId="637B500A" w14:textId="4DF85C1A" w:rsidR="00C622F1" w:rsidRDefault="00FB72FE" w:rsidP="00C622F1">
      <w:pPr>
        <w:jc w:val="both"/>
        <w:rPr>
          <w:rFonts w:ascii="Trebuchet MS" w:hAnsi="Trebuchet MS"/>
        </w:rPr>
      </w:pPr>
      <w:r>
        <w:rPr>
          <w:rFonts w:ascii="Trebuchet MS" w:hAnsi="Trebuchet MS"/>
        </w:rPr>
        <w:t>CONTENIDO DEL PROYECTO DE LEY</w:t>
      </w:r>
    </w:p>
    <w:p w14:paraId="1757A2A0" w14:textId="49DED737" w:rsidR="00075657" w:rsidRDefault="00035E97" w:rsidP="006C3AFD">
      <w:pPr>
        <w:jc w:val="both"/>
        <w:rPr>
          <w:rFonts w:ascii="Trebuchet MS" w:hAnsi="Trebuchet MS"/>
        </w:rPr>
      </w:pPr>
      <w:r>
        <w:rPr>
          <w:rFonts w:ascii="Trebuchet MS" w:hAnsi="Trebuchet MS"/>
        </w:rPr>
        <w:t xml:space="preserve">La falta de normas específicas </w:t>
      </w:r>
      <w:r w:rsidR="00F20D04">
        <w:rPr>
          <w:rFonts w:ascii="Trebuchet MS" w:hAnsi="Trebuchet MS"/>
        </w:rPr>
        <w:t xml:space="preserve">que desarrollen el concepto de falta de servicio </w:t>
      </w:r>
      <w:r>
        <w:rPr>
          <w:rFonts w:ascii="Trebuchet MS" w:hAnsi="Trebuchet MS"/>
        </w:rPr>
        <w:t xml:space="preserve">y </w:t>
      </w:r>
      <w:r w:rsidR="00F20D04">
        <w:rPr>
          <w:rFonts w:ascii="Trebuchet MS" w:hAnsi="Trebuchet MS"/>
        </w:rPr>
        <w:t xml:space="preserve">ciertos </w:t>
      </w:r>
      <w:r>
        <w:rPr>
          <w:rFonts w:ascii="Trebuchet MS" w:hAnsi="Trebuchet MS"/>
        </w:rPr>
        <w:t xml:space="preserve">desacuerdos jurisprudenciales, </w:t>
      </w:r>
      <w:r w:rsidR="00F20D04">
        <w:rPr>
          <w:rFonts w:ascii="Trebuchet MS" w:hAnsi="Trebuchet MS"/>
        </w:rPr>
        <w:t>tornan</w:t>
      </w:r>
      <w:r>
        <w:rPr>
          <w:rFonts w:ascii="Trebuchet MS" w:hAnsi="Trebuchet MS"/>
        </w:rPr>
        <w:t xml:space="preserve"> </w:t>
      </w:r>
      <w:r w:rsidR="00F20D04">
        <w:rPr>
          <w:rFonts w:ascii="Trebuchet MS" w:hAnsi="Trebuchet MS"/>
        </w:rPr>
        <w:t xml:space="preserve">imperiosa la necesidad </w:t>
      </w:r>
      <w:r w:rsidR="006C3AFD">
        <w:rPr>
          <w:rFonts w:ascii="Trebuchet MS" w:hAnsi="Trebuchet MS"/>
        </w:rPr>
        <w:t>dar certeza jurídica a los administrados acerca de los diferentes elementos sustantivos que con</w:t>
      </w:r>
      <w:r w:rsidR="00E81485">
        <w:rPr>
          <w:rFonts w:ascii="Trebuchet MS" w:hAnsi="Trebuchet MS"/>
        </w:rPr>
        <w:t>figuran</w:t>
      </w:r>
      <w:r w:rsidR="006C3AFD">
        <w:rPr>
          <w:rFonts w:ascii="Trebuchet MS" w:hAnsi="Trebuchet MS"/>
        </w:rPr>
        <w:t xml:space="preserve"> dicha institución, </w:t>
      </w:r>
      <w:r w:rsidR="00617EB6">
        <w:rPr>
          <w:rFonts w:ascii="Trebuchet MS" w:hAnsi="Trebuchet MS"/>
        </w:rPr>
        <w:t>y,</w:t>
      </w:r>
      <w:r w:rsidR="006C3AFD">
        <w:rPr>
          <w:rFonts w:ascii="Trebuchet MS" w:hAnsi="Trebuchet MS"/>
        </w:rPr>
        <w:t xml:space="preserve"> en consecuencia, los requerimientos procesales para su exigibilidad</w:t>
      </w:r>
      <w:r w:rsidR="00F20D04">
        <w:rPr>
          <w:rFonts w:ascii="Trebuchet MS" w:hAnsi="Trebuchet MS"/>
        </w:rPr>
        <w:t>.</w:t>
      </w:r>
    </w:p>
    <w:p w14:paraId="7597D398" w14:textId="677A31E8" w:rsidR="00E81485" w:rsidRDefault="00391CE5" w:rsidP="006C3AFD">
      <w:pPr>
        <w:jc w:val="both"/>
        <w:rPr>
          <w:rFonts w:ascii="Trebuchet MS" w:hAnsi="Trebuchet MS"/>
        </w:rPr>
      </w:pPr>
      <w:r>
        <w:rPr>
          <w:rFonts w:ascii="Trebuchet MS" w:hAnsi="Trebuchet MS"/>
        </w:rPr>
        <w:t xml:space="preserve">De hecho, la principal fuente de </w:t>
      </w:r>
      <w:r w:rsidR="00025682">
        <w:rPr>
          <w:rFonts w:ascii="Trebuchet MS" w:hAnsi="Trebuchet MS"/>
        </w:rPr>
        <w:t xml:space="preserve">confusión e indeterminación </w:t>
      </w:r>
      <w:r>
        <w:rPr>
          <w:rFonts w:ascii="Trebuchet MS" w:hAnsi="Trebuchet MS"/>
        </w:rPr>
        <w:t xml:space="preserve">que muestra la </w:t>
      </w:r>
      <w:r w:rsidR="0099331E">
        <w:rPr>
          <w:rFonts w:ascii="Trebuchet MS" w:hAnsi="Trebuchet MS"/>
        </w:rPr>
        <w:t>jurisprudencia</w:t>
      </w:r>
      <w:r w:rsidR="00FD3404">
        <w:rPr>
          <w:rFonts w:ascii="Trebuchet MS" w:hAnsi="Trebuchet MS"/>
        </w:rPr>
        <w:t xml:space="preserve"> radica en la propiedad o impropiedad de la aplicación de</w:t>
      </w:r>
      <w:r w:rsidR="0099331E">
        <w:rPr>
          <w:rFonts w:ascii="Trebuchet MS" w:hAnsi="Trebuchet MS"/>
        </w:rPr>
        <w:t xml:space="preserve"> las </w:t>
      </w:r>
      <w:r w:rsidR="00617EB6">
        <w:rPr>
          <w:rFonts w:ascii="Trebuchet MS" w:hAnsi="Trebuchet MS"/>
        </w:rPr>
        <w:t>normas del</w:t>
      </w:r>
      <w:r w:rsidR="00FD3404">
        <w:rPr>
          <w:rFonts w:ascii="Trebuchet MS" w:hAnsi="Trebuchet MS"/>
        </w:rPr>
        <w:t xml:space="preserve"> Código </w:t>
      </w:r>
      <w:r w:rsidR="00617EB6">
        <w:rPr>
          <w:rFonts w:ascii="Trebuchet MS" w:hAnsi="Trebuchet MS"/>
        </w:rPr>
        <w:t>Civil,</w:t>
      </w:r>
      <w:r w:rsidR="00FA12F2">
        <w:rPr>
          <w:rFonts w:ascii="Trebuchet MS" w:hAnsi="Trebuchet MS"/>
        </w:rPr>
        <w:t xml:space="preserve"> sobre responsabilidad por culpa, </w:t>
      </w:r>
      <w:r w:rsidR="00FD3404">
        <w:rPr>
          <w:rFonts w:ascii="Trebuchet MS" w:hAnsi="Trebuchet MS"/>
        </w:rPr>
        <w:t xml:space="preserve">en la </w:t>
      </w:r>
      <w:r w:rsidR="00DC3932">
        <w:rPr>
          <w:rFonts w:ascii="Trebuchet MS" w:hAnsi="Trebuchet MS"/>
        </w:rPr>
        <w:t xml:space="preserve">determinación de la responsabilidad </w:t>
      </w:r>
      <w:r w:rsidR="00FA12F2">
        <w:rPr>
          <w:rFonts w:ascii="Trebuchet MS" w:hAnsi="Trebuchet MS"/>
        </w:rPr>
        <w:t>púbica.</w:t>
      </w:r>
      <w:r w:rsidR="00075657">
        <w:rPr>
          <w:rFonts w:ascii="Trebuchet MS" w:hAnsi="Trebuchet MS"/>
        </w:rPr>
        <w:t xml:space="preserve"> </w:t>
      </w:r>
    </w:p>
    <w:p w14:paraId="676944D4" w14:textId="58742027" w:rsidR="006C3AFD" w:rsidRDefault="006C3AFD" w:rsidP="006C3AFD">
      <w:pPr>
        <w:jc w:val="both"/>
        <w:rPr>
          <w:rFonts w:ascii="Trebuchet MS" w:hAnsi="Trebuchet MS"/>
        </w:rPr>
      </w:pPr>
      <w:r>
        <w:rPr>
          <w:rFonts w:ascii="Trebuchet MS" w:hAnsi="Trebuchet MS"/>
        </w:rPr>
        <w:t xml:space="preserve">Son elementos sustantivos de la falta de servicio y su régimen </w:t>
      </w:r>
      <w:r w:rsidR="00617EB6">
        <w:rPr>
          <w:rFonts w:ascii="Trebuchet MS" w:hAnsi="Trebuchet MS"/>
        </w:rPr>
        <w:t>general,</w:t>
      </w:r>
      <w:r w:rsidR="00C9559A">
        <w:rPr>
          <w:rFonts w:ascii="Trebuchet MS" w:hAnsi="Trebuchet MS"/>
        </w:rPr>
        <w:t xml:space="preserve"> que la doctrina y la jurisprudencia han </w:t>
      </w:r>
      <w:r w:rsidR="00617EB6">
        <w:rPr>
          <w:rFonts w:ascii="Trebuchet MS" w:hAnsi="Trebuchet MS"/>
        </w:rPr>
        <w:t>ido perfilando</w:t>
      </w:r>
      <w:r w:rsidR="009E23E1">
        <w:rPr>
          <w:rStyle w:val="Refdenotaalpie"/>
          <w:rFonts w:ascii="Trebuchet MS" w:hAnsi="Trebuchet MS"/>
        </w:rPr>
        <w:footnoteReference w:id="20"/>
      </w:r>
      <w:r w:rsidR="009E23E1">
        <w:rPr>
          <w:rFonts w:ascii="Trebuchet MS" w:hAnsi="Trebuchet MS"/>
        </w:rPr>
        <w:t xml:space="preserve"> , y </w:t>
      </w:r>
      <w:r>
        <w:rPr>
          <w:rFonts w:ascii="Trebuchet MS" w:hAnsi="Trebuchet MS"/>
        </w:rPr>
        <w:t xml:space="preserve">que es necesario </w:t>
      </w:r>
      <w:r w:rsidR="009E23E1">
        <w:rPr>
          <w:rFonts w:ascii="Trebuchet MS" w:hAnsi="Trebuchet MS"/>
        </w:rPr>
        <w:t xml:space="preserve">objetivar en normas jurídicas generales, </w:t>
      </w:r>
      <w:r>
        <w:rPr>
          <w:rFonts w:ascii="Trebuchet MS" w:hAnsi="Trebuchet MS"/>
        </w:rPr>
        <w:t xml:space="preserve">a lo menos, los siguientes: </w:t>
      </w:r>
    </w:p>
    <w:p w14:paraId="5139260A" w14:textId="4E639E06" w:rsidR="00600FA6" w:rsidRPr="00D51788" w:rsidRDefault="00755338" w:rsidP="00B942A1">
      <w:pPr>
        <w:pStyle w:val="Prrafodelista"/>
        <w:numPr>
          <w:ilvl w:val="0"/>
          <w:numId w:val="25"/>
        </w:numPr>
        <w:spacing w:line="252" w:lineRule="auto"/>
        <w:ind w:left="1134" w:hanging="1134"/>
        <w:jc w:val="both"/>
        <w:rPr>
          <w:rFonts w:ascii="Trebuchet MS" w:hAnsi="Trebuchet MS"/>
        </w:rPr>
      </w:pPr>
      <w:r w:rsidRPr="00D51788">
        <w:rPr>
          <w:rFonts w:ascii="Trebuchet MS" w:hAnsi="Trebuchet MS"/>
        </w:rPr>
        <w:t xml:space="preserve">El </w:t>
      </w:r>
      <w:r w:rsidR="00617EB6" w:rsidRPr="00D51788">
        <w:rPr>
          <w:rFonts w:ascii="Trebuchet MS" w:hAnsi="Trebuchet MS"/>
        </w:rPr>
        <w:t>carácter anónimo</w:t>
      </w:r>
      <w:r w:rsidRPr="00D51788">
        <w:rPr>
          <w:rFonts w:ascii="Trebuchet MS" w:hAnsi="Trebuchet MS"/>
        </w:rPr>
        <w:t xml:space="preserve"> del sis</w:t>
      </w:r>
      <w:r w:rsidR="00600FA6" w:rsidRPr="00D51788">
        <w:rPr>
          <w:rFonts w:ascii="Trebuchet MS" w:hAnsi="Trebuchet MS"/>
        </w:rPr>
        <w:t>tema de responsabilidad basado en el concepto de falta de servicio</w:t>
      </w:r>
      <w:r w:rsidR="0056334A" w:rsidRPr="00D51788">
        <w:rPr>
          <w:rFonts w:ascii="Trebuchet MS" w:hAnsi="Trebuchet MS"/>
        </w:rPr>
        <w:t xml:space="preserve"> y la no confusión de a</w:t>
      </w:r>
      <w:r w:rsidR="00695DF4" w:rsidRPr="00D51788">
        <w:rPr>
          <w:rFonts w:ascii="Trebuchet MS" w:hAnsi="Trebuchet MS"/>
        </w:rPr>
        <w:t xml:space="preserve">quél </w:t>
      </w:r>
      <w:r w:rsidR="0056334A" w:rsidRPr="00D51788">
        <w:rPr>
          <w:rFonts w:ascii="Trebuchet MS" w:hAnsi="Trebuchet MS"/>
        </w:rPr>
        <w:t>con un régimen objetivo de responsabilidad de la Administración.</w:t>
      </w:r>
    </w:p>
    <w:p w14:paraId="5647B92A" w14:textId="77777777" w:rsidR="00C3307B" w:rsidRPr="00D51788" w:rsidRDefault="00C3307B" w:rsidP="00C3307B">
      <w:pPr>
        <w:pStyle w:val="Prrafodelista"/>
        <w:numPr>
          <w:ilvl w:val="0"/>
          <w:numId w:val="25"/>
        </w:numPr>
        <w:spacing w:line="252" w:lineRule="auto"/>
        <w:ind w:left="1134" w:hanging="1134"/>
        <w:jc w:val="both"/>
        <w:rPr>
          <w:rFonts w:ascii="Trebuchet MS" w:hAnsi="Trebuchet MS"/>
        </w:rPr>
      </w:pPr>
      <w:r w:rsidRPr="00D51788">
        <w:rPr>
          <w:rFonts w:ascii="Trebuchet MS" w:hAnsi="Trebuchet MS"/>
        </w:rPr>
        <w:t>Los órganos sujetos a responsabilidad administrativa.</w:t>
      </w:r>
    </w:p>
    <w:p w14:paraId="4C825E05" w14:textId="263B6149" w:rsidR="006C3AFD" w:rsidRPr="00D51788" w:rsidRDefault="006C3AFD" w:rsidP="00B942A1">
      <w:pPr>
        <w:pStyle w:val="Prrafodelista"/>
        <w:numPr>
          <w:ilvl w:val="0"/>
          <w:numId w:val="25"/>
        </w:numPr>
        <w:spacing w:line="252" w:lineRule="auto"/>
        <w:ind w:left="1134" w:hanging="1134"/>
        <w:jc w:val="both"/>
        <w:rPr>
          <w:rFonts w:ascii="Trebuchet MS" w:hAnsi="Trebuchet MS"/>
        </w:rPr>
      </w:pPr>
      <w:r w:rsidRPr="00D51788">
        <w:rPr>
          <w:rFonts w:ascii="Trebuchet MS" w:hAnsi="Trebuchet MS"/>
        </w:rPr>
        <w:t xml:space="preserve">Las hipótesis objetivas en las que se considera </w:t>
      </w:r>
      <w:proofErr w:type="gramStart"/>
      <w:r w:rsidRPr="00D51788">
        <w:rPr>
          <w:rFonts w:ascii="Trebuchet MS" w:hAnsi="Trebuchet MS"/>
        </w:rPr>
        <w:t>existe</w:t>
      </w:r>
      <w:proofErr w:type="gramEnd"/>
      <w:r w:rsidRPr="00D51788">
        <w:rPr>
          <w:rFonts w:ascii="Trebuchet MS" w:hAnsi="Trebuchet MS"/>
        </w:rPr>
        <w:t xml:space="preserve"> una falta de servicio</w:t>
      </w:r>
      <w:r w:rsidR="00695DF4" w:rsidRPr="00D51788">
        <w:rPr>
          <w:rFonts w:ascii="Trebuchet MS" w:hAnsi="Trebuchet MS"/>
        </w:rPr>
        <w:t>.</w:t>
      </w:r>
    </w:p>
    <w:p w14:paraId="405DB9F6" w14:textId="77777777" w:rsidR="006C3AFD" w:rsidRPr="00D51788" w:rsidRDefault="006C3AFD" w:rsidP="00B942A1">
      <w:pPr>
        <w:pStyle w:val="Prrafodelista"/>
        <w:numPr>
          <w:ilvl w:val="0"/>
          <w:numId w:val="25"/>
        </w:numPr>
        <w:spacing w:line="252" w:lineRule="auto"/>
        <w:ind w:left="1134" w:hanging="1134"/>
        <w:jc w:val="both"/>
        <w:rPr>
          <w:rFonts w:ascii="Trebuchet MS" w:hAnsi="Trebuchet MS"/>
        </w:rPr>
      </w:pPr>
      <w:r w:rsidRPr="00D51788">
        <w:rPr>
          <w:rFonts w:ascii="Trebuchet MS" w:hAnsi="Trebuchet MS"/>
        </w:rPr>
        <w:t>Los estándares objetivos a partir de los cuales se evaluará por el juzgador la existencia o no de una falta de servicio.</w:t>
      </w:r>
    </w:p>
    <w:p w14:paraId="328D6A79" w14:textId="1DCC9DA7" w:rsidR="006C3AFD" w:rsidRPr="00D51788" w:rsidRDefault="006C3AFD" w:rsidP="000071C1">
      <w:pPr>
        <w:pStyle w:val="Prrafodelista"/>
        <w:numPr>
          <w:ilvl w:val="0"/>
          <w:numId w:val="25"/>
        </w:numPr>
        <w:spacing w:line="252" w:lineRule="auto"/>
        <w:ind w:left="1134" w:hanging="1134"/>
        <w:jc w:val="both"/>
        <w:rPr>
          <w:rFonts w:ascii="Trebuchet MS" w:hAnsi="Trebuchet MS"/>
        </w:rPr>
      </w:pPr>
      <w:r w:rsidRPr="00D51788">
        <w:rPr>
          <w:rFonts w:ascii="Trebuchet MS" w:hAnsi="Trebuchet MS"/>
        </w:rPr>
        <w:t>La relación de causalidad que debe haber entre la falta de servicio y el daño sufrido por el administrado.</w:t>
      </w:r>
    </w:p>
    <w:p w14:paraId="763A6ECF" w14:textId="77777777" w:rsidR="006C3AFD" w:rsidRPr="00D51788" w:rsidRDefault="006C3AFD" w:rsidP="00B942A1">
      <w:pPr>
        <w:pStyle w:val="Prrafodelista"/>
        <w:numPr>
          <w:ilvl w:val="0"/>
          <w:numId w:val="25"/>
        </w:numPr>
        <w:spacing w:line="252" w:lineRule="auto"/>
        <w:ind w:left="1134" w:hanging="1134"/>
        <w:jc w:val="both"/>
        <w:rPr>
          <w:rFonts w:ascii="Trebuchet MS" w:hAnsi="Trebuchet MS"/>
        </w:rPr>
      </w:pPr>
      <w:r w:rsidRPr="00D51788">
        <w:rPr>
          <w:rFonts w:ascii="Trebuchet MS" w:hAnsi="Trebuchet MS"/>
        </w:rPr>
        <w:t>Los daños indemnizables.</w:t>
      </w:r>
    </w:p>
    <w:p w14:paraId="0AFEE732" w14:textId="73582043" w:rsidR="006C3AFD" w:rsidRPr="00FC31AA" w:rsidRDefault="00B942A1" w:rsidP="00C622F1">
      <w:pPr>
        <w:jc w:val="both"/>
        <w:rPr>
          <w:rFonts w:ascii="Trebuchet MS" w:hAnsi="Trebuchet MS"/>
          <w:u w:val="single"/>
        </w:rPr>
      </w:pPr>
      <w:r w:rsidRPr="00FC31AA">
        <w:rPr>
          <w:rFonts w:ascii="Trebuchet MS" w:hAnsi="Trebuchet MS"/>
          <w:u w:val="single"/>
        </w:rPr>
        <w:t>Todas ellas constituyen</w:t>
      </w:r>
      <w:r w:rsidR="00A356EA" w:rsidRPr="00FC31AA">
        <w:rPr>
          <w:rFonts w:ascii="Trebuchet MS" w:hAnsi="Trebuchet MS"/>
          <w:u w:val="single"/>
        </w:rPr>
        <w:t xml:space="preserve"> el contenido de esta moción</w:t>
      </w:r>
      <w:r w:rsidR="006311CB" w:rsidRPr="00FC31AA">
        <w:rPr>
          <w:rFonts w:ascii="Trebuchet MS" w:hAnsi="Trebuchet MS"/>
          <w:u w:val="single"/>
        </w:rPr>
        <w:t xml:space="preserve">, divididas en cuatro artículos: </w:t>
      </w:r>
      <w:r w:rsidR="00617EB6" w:rsidRPr="00FC31AA">
        <w:rPr>
          <w:rFonts w:ascii="Trebuchet MS" w:hAnsi="Trebuchet MS"/>
          <w:u w:val="single"/>
        </w:rPr>
        <w:t>14,</w:t>
      </w:r>
      <w:r w:rsidR="006311CB" w:rsidRPr="00FC31AA">
        <w:rPr>
          <w:rFonts w:ascii="Trebuchet MS" w:hAnsi="Trebuchet MS"/>
          <w:u w:val="single"/>
        </w:rPr>
        <w:t xml:space="preserve"> articulo actualmente derogado, 1</w:t>
      </w:r>
      <w:r w:rsidR="00FC31AA" w:rsidRPr="00FC31AA">
        <w:rPr>
          <w:rFonts w:ascii="Trebuchet MS" w:hAnsi="Trebuchet MS"/>
          <w:u w:val="single"/>
        </w:rPr>
        <w:t>4 bis, 14 ter y 14 quáter.</w:t>
      </w:r>
    </w:p>
    <w:p w14:paraId="45C024A4" w14:textId="77777777" w:rsidR="00A356EA" w:rsidRPr="00C622F1" w:rsidRDefault="00A356EA" w:rsidP="00C622F1">
      <w:pPr>
        <w:jc w:val="both"/>
        <w:rPr>
          <w:rFonts w:ascii="Trebuchet MS" w:hAnsi="Trebuchet MS"/>
        </w:rPr>
      </w:pPr>
    </w:p>
    <w:p w14:paraId="7356FE28" w14:textId="306F2F70" w:rsidR="00A356EA" w:rsidRDefault="00A356EA" w:rsidP="001D00C0">
      <w:pPr>
        <w:pStyle w:val="Prrafodelista"/>
        <w:numPr>
          <w:ilvl w:val="0"/>
          <w:numId w:val="26"/>
        </w:numPr>
        <w:spacing w:line="252" w:lineRule="auto"/>
        <w:ind w:left="1134" w:hanging="1276"/>
        <w:jc w:val="both"/>
        <w:rPr>
          <w:rFonts w:ascii="Trebuchet MS" w:hAnsi="Trebuchet MS"/>
        </w:rPr>
      </w:pPr>
      <w:r>
        <w:rPr>
          <w:rFonts w:ascii="Trebuchet MS" w:hAnsi="Trebuchet MS"/>
        </w:rPr>
        <w:t xml:space="preserve">EL </w:t>
      </w:r>
      <w:r w:rsidR="00617EB6">
        <w:rPr>
          <w:rFonts w:ascii="Trebuchet MS" w:hAnsi="Trebuchet MS"/>
        </w:rPr>
        <w:t>CARÁCTER ANÓNIMO</w:t>
      </w:r>
      <w:r>
        <w:rPr>
          <w:rFonts w:ascii="Trebuchet MS" w:hAnsi="Trebuchet MS"/>
        </w:rPr>
        <w:t xml:space="preserve"> DEL SISTEMA DE RESPONSABILIDAD BASADO EN EL CONCEPTO DE FALTA DE SERVICIO</w:t>
      </w:r>
      <w:r w:rsidR="00E81485">
        <w:rPr>
          <w:rFonts w:ascii="Trebuchet MS" w:hAnsi="Trebuchet MS"/>
        </w:rPr>
        <w:t xml:space="preserve"> </w:t>
      </w:r>
      <w:r w:rsidR="00E81485" w:rsidRPr="00E81485">
        <w:rPr>
          <w:rFonts w:ascii="Trebuchet MS" w:hAnsi="Trebuchet MS"/>
        </w:rPr>
        <w:t>y LA NO CONFUSIÓN DE AQUÉL CON UN RÉGIMEN OBJETIVO DE RESPONSABILIDAD DE LA ADMINISTRACIÓN.</w:t>
      </w:r>
    </w:p>
    <w:p w14:paraId="054B316F" w14:textId="77777777" w:rsidR="00ED5A5F" w:rsidRPr="00A356EA" w:rsidRDefault="00ED5A5F" w:rsidP="00A356EA">
      <w:pPr>
        <w:shd w:val="clear" w:color="auto" w:fill="FFFFFF"/>
        <w:spacing w:after="0" w:line="240" w:lineRule="auto"/>
        <w:rPr>
          <w:rFonts w:ascii="Trebuchet MS" w:hAnsi="Trebuchet MS"/>
          <w:u w:val="single"/>
        </w:rPr>
      </w:pPr>
    </w:p>
    <w:p w14:paraId="15C43440" w14:textId="079D8A90" w:rsidR="00A971A1" w:rsidRDefault="001C25C4" w:rsidP="00D90050">
      <w:pPr>
        <w:shd w:val="clear" w:color="auto" w:fill="FFFFFF"/>
        <w:spacing w:after="0" w:line="240" w:lineRule="auto"/>
        <w:jc w:val="both"/>
      </w:pPr>
      <w:r w:rsidRPr="003A4B87">
        <w:rPr>
          <w:rFonts w:ascii="Trebuchet MS" w:hAnsi="Trebuchet MS"/>
        </w:rPr>
        <w:t>E</w:t>
      </w:r>
      <w:r w:rsidR="00ED5A5F" w:rsidRPr="003A4B87">
        <w:rPr>
          <w:rFonts w:ascii="Trebuchet MS" w:hAnsi="Trebuchet MS"/>
        </w:rPr>
        <w:t xml:space="preserve">l concepto de falta de servicio como título </w:t>
      </w:r>
      <w:r w:rsidR="00617EB6" w:rsidRPr="003A4B87">
        <w:rPr>
          <w:rFonts w:ascii="Trebuchet MS" w:hAnsi="Trebuchet MS"/>
        </w:rPr>
        <w:t xml:space="preserve">de </w:t>
      </w:r>
      <w:r w:rsidR="00617EB6">
        <w:rPr>
          <w:rFonts w:ascii="Trebuchet MS" w:hAnsi="Trebuchet MS"/>
        </w:rPr>
        <w:t>atribución</w:t>
      </w:r>
      <w:r w:rsidR="00A356EA">
        <w:rPr>
          <w:rFonts w:ascii="Trebuchet MS" w:hAnsi="Trebuchet MS"/>
        </w:rPr>
        <w:t xml:space="preserve"> de responsabilidad</w:t>
      </w:r>
      <w:r w:rsidR="00ED5A5F" w:rsidRPr="003A4B87">
        <w:rPr>
          <w:rFonts w:ascii="Trebuchet MS" w:hAnsi="Trebuchet MS"/>
        </w:rPr>
        <w:t xml:space="preserve"> de desarrollo jurisprudencial o </w:t>
      </w:r>
      <w:r w:rsidR="00617EB6" w:rsidRPr="003A4B87">
        <w:rPr>
          <w:rFonts w:ascii="Trebuchet MS" w:hAnsi="Trebuchet MS"/>
        </w:rPr>
        <w:t>pretoriano, data</w:t>
      </w:r>
      <w:r w:rsidR="00ED5A5F" w:rsidRPr="003A4B87">
        <w:rPr>
          <w:rFonts w:ascii="Trebuchet MS" w:hAnsi="Trebuchet MS"/>
        </w:rPr>
        <w:t xml:space="preserve"> en el derecho francés desde mediados del siglo </w:t>
      </w:r>
      <w:r w:rsidR="00617EB6" w:rsidRPr="003A4B87">
        <w:rPr>
          <w:rFonts w:ascii="Trebuchet MS" w:hAnsi="Trebuchet MS"/>
        </w:rPr>
        <w:t>XIX.</w:t>
      </w:r>
      <w:r w:rsidR="00ED5A5F" w:rsidRPr="003A4B87">
        <w:rPr>
          <w:rFonts w:ascii="Trebuchet MS" w:hAnsi="Trebuchet MS"/>
        </w:rPr>
        <w:t xml:space="preserve"> Este factor de atribución de responsabilidad “(…) se construye como un incumplimiento en el funcionamiento normal del servicio, de modo que es una noción autónoma que está vinculada al carácter material o jurídico del acto singular o general, independiente de la legalidad del acto y con indiferencias de sus efectos penales. Es una noción amplia en la medida que abarca junto con la falta positiva del acto cumplido equivocadamente, la falta por omisión y el retardo”</w:t>
      </w:r>
      <w:r w:rsidR="00ED5A5F">
        <w:t xml:space="preserve"> </w:t>
      </w:r>
      <w:r w:rsidR="00D90050">
        <w:rPr>
          <w:rStyle w:val="Refdenotaalpie"/>
        </w:rPr>
        <w:footnoteReference w:id="21"/>
      </w:r>
      <w:r w:rsidR="00ED5A5F">
        <w:t xml:space="preserve"> .</w:t>
      </w:r>
    </w:p>
    <w:p w14:paraId="7EC84613" w14:textId="77777777" w:rsidR="00A971A1" w:rsidRDefault="00A971A1" w:rsidP="00D90050">
      <w:pPr>
        <w:shd w:val="clear" w:color="auto" w:fill="FFFFFF"/>
        <w:spacing w:after="0" w:line="240" w:lineRule="auto"/>
        <w:jc w:val="both"/>
      </w:pPr>
    </w:p>
    <w:p w14:paraId="1DA2153A" w14:textId="23152F67" w:rsidR="00D90050" w:rsidRDefault="00ED5A5F" w:rsidP="00D90050">
      <w:pPr>
        <w:shd w:val="clear" w:color="auto" w:fill="FFFFFF"/>
        <w:spacing w:after="0" w:line="240" w:lineRule="auto"/>
        <w:jc w:val="both"/>
        <w:rPr>
          <w:rFonts w:ascii="Trebuchet MS" w:hAnsi="Trebuchet MS"/>
        </w:rPr>
      </w:pPr>
      <w:r>
        <w:t xml:space="preserve"> </w:t>
      </w:r>
      <w:r w:rsidR="003A4B87" w:rsidRPr="00ED5A5F">
        <w:rPr>
          <w:rFonts w:ascii="Trebuchet MS" w:hAnsi="Trebuchet MS"/>
        </w:rPr>
        <w:t>Conforme explica Ferrada, “el supuesto de la falta de servicio es la anormalidad en el funcionamiento de los Servicios Público</w:t>
      </w:r>
      <w:r w:rsidR="00A356EA">
        <w:rPr>
          <w:rFonts w:ascii="Trebuchet MS" w:hAnsi="Trebuchet MS"/>
        </w:rPr>
        <w:t>s”</w:t>
      </w:r>
      <w:r w:rsidR="003A4B87">
        <w:rPr>
          <w:rStyle w:val="Refdenotaalpie"/>
          <w:rFonts w:ascii="Trebuchet MS" w:hAnsi="Trebuchet MS"/>
        </w:rPr>
        <w:footnoteReference w:id="22"/>
      </w:r>
      <w:r w:rsidR="003A4B87">
        <w:rPr>
          <w:rFonts w:ascii="Trebuchet MS" w:hAnsi="Trebuchet MS"/>
        </w:rPr>
        <w:t>.</w:t>
      </w:r>
      <w:r w:rsidR="00D90050" w:rsidRPr="00D90050">
        <w:rPr>
          <w:rFonts w:ascii="Trebuchet MS" w:hAnsi="Trebuchet MS"/>
        </w:rPr>
        <w:t xml:space="preserve"> </w:t>
      </w:r>
      <w:r w:rsidR="00D90050">
        <w:rPr>
          <w:rFonts w:ascii="Trebuchet MS" w:hAnsi="Trebuchet MS"/>
        </w:rPr>
        <w:t>Así, “</w:t>
      </w:r>
      <w:r w:rsidR="00D90050" w:rsidRPr="00ED5A5F">
        <w:rPr>
          <w:rFonts w:ascii="Trebuchet MS" w:hAnsi="Trebuchet MS"/>
        </w:rPr>
        <w:t xml:space="preserve">la defensa con que cuenta la Administración Pública será el standard medio de funcionamiento, no siéndole imputable aquello que exceda a dicho mínimo”. </w:t>
      </w:r>
      <w:r w:rsidR="00D90050">
        <w:rPr>
          <w:rStyle w:val="Refdenotaalpie"/>
          <w:rFonts w:ascii="Trebuchet MS" w:hAnsi="Trebuchet MS"/>
        </w:rPr>
        <w:footnoteReference w:id="23"/>
      </w:r>
    </w:p>
    <w:p w14:paraId="2E4C5FF5" w14:textId="0BD0BD75" w:rsidR="003A4B87" w:rsidRDefault="003A4B87" w:rsidP="00ED5A5F">
      <w:pPr>
        <w:shd w:val="clear" w:color="auto" w:fill="FFFFFF"/>
        <w:spacing w:after="0" w:line="240" w:lineRule="auto"/>
        <w:jc w:val="both"/>
      </w:pPr>
    </w:p>
    <w:p w14:paraId="2084264D" w14:textId="1B903629" w:rsidR="00DE754F" w:rsidRDefault="00ED5A5F" w:rsidP="003E5F80">
      <w:pPr>
        <w:shd w:val="clear" w:color="auto" w:fill="FFFFFF"/>
        <w:spacing w:after="0" w:line="240" w:lineRule="auto"/>
        <w:jc w:val="both"/>
        <w:rPr>
          <w:rFonts w:ascii="Trebuchet MS" w:hAnsi="Trebuchet MS"/>
        </w:rPr>
      </w:pPr>
      <w:r w:rsidRPr="00ED5A5F">
        <w:rPr>
          <w:rFonts w:ascii="Trebuchet MS" w:hAnsi="Trebuchet MS"/>
        </w:rPr>
        <w:t>Explica Bermúdez que “</w:t>
      </w:r>
      <w:r w:rsidR="003E5F80">
        <w:rPr>
          <w:rFonts w:ascii="Trebuchet MS" w:hAnsi="Trebuchet MS"/>
        </w:rPr>
        <w:t>e</w:t>
      </w:r>
      <w:r w:rsidRPr="00ED5A5F">
        <w:rPr>
          <w:rFonts w:ascii="Trebuchet MS" w:hAnsi="Trebuchet MS"/>
        </w:rPr>
        <w:t>ste sistema de responsabilidad no se estructura como un sistema objetivo</w:t>
      </w:r>
      <w:r w:rsidR="00DE754F">
        <w:rPr>
          <w:rFonts w:ascii="Trebuchet MS" w:hAnsi="Trebuchet MS"/>
        </w:rPr>
        <w:t xml:space="preserve"> de responsabilidad</w:t>
      </w:r>
      <w:r w:rsidRPr="00ED5A5F">
        <w:rPr>
          <w:rFonts w:ascii="Trebuchet MS" w:hAnsi="Trebuchet MS"/>
        </w:rPr>
        <w:t>, sino como un sistema anónimo</w:t>
      </w:r>
      <w:r w:rsidR="00BB6751">
        <w:rPr>
          <w:rFonts w:ascii="Trebuchet MS" w:hAnsi="Trebuchet MS"/>
        </w:rPr>
        <w:t>”</w:t>
      </w:r>
      <w:r w:rsidR="00DD044A">
        <w:rPr>
          <w:rFonts w:ascii="Trebuchet MS" w:hAnsi="Trebuchet MS"/>
        </w:rPr>
        <w:t xml:space="preserve">. Ello significa que es un sistema </w:t>
      </w:r>
      <w:r w:rsidRPr="00ED5A5F">
        <w:rPr>
          <w:rFonts w:ascii="Trebuchet MS" w:hAnsi="Trebuchet MS"/>
        </w:rPr>
        <w:t xml:space="preserve">en el cual </w:t>
      </w:r>
      <w:r w:rsidR="00DE754F">
        <w:rPr>
          <w:rFonts w:ascii="Trebuchet MS" w:hAnsi="Trebuchet MS"/>
        </w:rPr>
        <w:t>se atrib</w:t>
      </w:r>
      <w:r w:rsidR="00BB6751">
        <w:rPr>
          <w:rFonts w:ascii="Trebuchet MS" w:hAnsi="Trebuchet MS"/>
        </w:rPr>
        <w:t>uye responsabilidad a la administración por el daño que ocasiona al faltar en la prestación de</w:t>
      </w:r>
      <w:r w:rsidR="00DD044A">
        <w:rPr>
          <w:rFonts w:ascii="Trebuchet MS" w:hAnsi="Trebuchet MS"/>
        </w:rPr>
        <w:t>l</w:t>
      </w:r>
      <w:r w:rsidR="00BB6751">
        <w:rPr>
          <w:rFonts w:ascii="Trebuchet MS" w:hAnsi="Trebuchet MS"/>
        </w:rPr>
        <w:t xml:space="preserve"> servicio</w:t>
      </w:r>
      <w:r w:rsidR="00DD044A">
        <w:rPr>
          <w:rFonts w:ascii="Trebuchet MS" w:hAnsi="Trebuchet MS"/>
        </w:rPr>
        <w:t xml:space="preserve"> publico cuyo cometido le ha asignado la </w:t>
      </w:r>
      <w:r w:rsidR="00617EB6">
        <w:rPr>
          <w:rFonts w:ascii="Trebuchet MS" w:hAnsi="Trebuchet MS"/>
        </w:rPr>
        <w:t>ley,</w:t>
      </w:r>
      <w:r w:rsidR="00DD044A">
        <w:rPr>
          <w:rFonts w:ascii="Trebuchet MS" w:hAnsi="Trebuchet MS"/>
        </w:rPr>
        <w:t xml:space="preserve"> en el cual</w:t>
      </w:r>
      <w:r w:rsidR="00BB6751">
        <w:rPr>
          <w:rFonts w:ascii="Trebuchet MS" w:hAnsi="Trebuchet MS"/>
        </w:rPr>
        <w:t xml:space="preserve"> </w:t>
      </w:r>
      <w:r w:rsidRPr="00ED5A5F">
        <w:rPr>
          <w:rFonts w:ascii="Trebuchet MS" w:hAnsi="Trebuchet MS"/>
        </w:rPr>
        <w:t xml:space="preserve">no resulta de relevancia determinar al funcionario que ocasiona la falta, sino sólo la falta </w:t>
      </w:r>
      <w:proofErr w:type="gramStart"/>
      <w:r w:rsidRPr="00ED5A5F">
        <w:rPr>
          <w:rFonts w:ascii="Trebuchet MS" w:hAnsi="Trebuchet MS"/>
        </w:rPr>
        <w:t>del mismo</w:t>
      </w:r>
      <w:proofErr w:type="gramEnd"/>
      <w:r w:rsidR="00D90050">
        <w:rPr>
          <w:rFonts w:ascii="Trebuchet MS" w:hAnsi="Trebuchet MS"/>
        </w:rPr>
        <w:t>”</w:t>
      </w:r>
      <w:r w:rsidR="00D90050">
        <w:rPr>
          <w:rStyle w:val="Refdenotaalpie"/>
          <w:rFonts w:ascii="Trebuchet MS" w:hAnsi="Trebuchet MS"/>
        </w:rPr>
        <w:footnoteReference w:id="24"/>
      </w:r>
      <w:r w:rsidRPr="00ED5A5F">
        <w:rPr>
          <w:rFonts w:ascii="Trebuchet MS" w:hAnsi="Trebuchet MS"/>
        </w:rPr>
        <w:t xml:space="preserve">. </w:t>
      </w:r>
      <w:r w:rsidR="00B508AC">
        <w:rPr>
          <w:rFonts w:ascii="Trebuchet MS" w:hAnsi="Trebuchet MS"/>
        </w:rPr>
        <w:t>“N</w:t>
      </w:r>
      <w:r w:rsidR="00B508AC" w:rsidRPr="00ED5A5F">
        <w:rPr>
          <w:rFonts w:ascii="Trebuchet MS" w:hAnsi="Trebuchet MS"/>
        </w:rPr>
        <w:t>o será necesario comprobar la negligencia del funcionario o agente y mucho menos identificarlo plenamente</w:t>
      </w:r>
      <w:r w:rsidR="00B508AC">
        <w:rPr>
          <w:rFonts w:ascii="Trebuchet MS" w:hAnsi="Trebuchet MS"/>
        </w:rPr>
        <w:t xml:space="preserve">, </w:t>
      </w:r>
      <w:r w:rsidR="00B508AC" w:rsidRPr="00ED5A5F">
        <w:rPr>
          <w:rFonts w:ascii="Trebuchet MS" w:hAnsi="Trebuchet MS"/>
        </w:rPr>
        <w:t>sino que sólo bastará con encontrarse en alguno de los supuestos constitutivos de falta de servicio</w:t>
      </w:r>
      <w:r w:rsidR="00B508AC">
        <w:rPr>
          <w:rFonts w:ascii="Trebuchet MS" w:hAnsi="Trebuchet MS"/>
        </w:rPr>
        <w:t xml:space="preserve">, </w:t>
      </w:r>
      <w:r w:rsidR="00617EB6">
        <w:rPr>
          <w:rFonts w:ascii="Trebuchet MS" w:hAnsi="Trebuchet MS"/>
        </w:rPr>
        <w:t>y probar</w:t>
      </w:r>
      <w:r w:rsidR="00B508AC">
        <w:rPr>
          <w:rFonts w:ascii="Trebuchet MS" w:hAnsi="Trebuchet MS"/>
        </w:rPr>
        <w:t xml:space="preserve"> dicha “falta anónima”.</w:t>
      </w:r>
      <w:r w:rsidR="00B508AC">
        <w:rPr>
          <w:rStyle w:val="Refdenotaalpie"/>
          <w:rFonts w:ascii="Trebuchet MS" w:hAnsi="Trebuchet MS"/>
        </w:rPr>
        <w:footnoteReference w:id="25"/>
      </w:r>
    </w:p>
    <w:p w14:paraId="249F22EF" w14:textId="77777777" w:rsidR="00B508AC" w:rsidRDefault="00B508AC" w:rsidP="003E5F80">
      <w:pPr>
        <w:shd w:val="clear" w:color="auto" w:fill="FFFFFF"/>
        <w:spacing w:after="0" w:line="240" w:lineRule="auto"/>
        <w:jc w:val="both"/>
        <w:rPr>
          <w:rFonts w:ascii="Trebuchet MS" w:hAnsi="Trebuchet MS"/>
        </w:rPr>
      </w:pPr>
    </w:p>
    <w:p w14:paraId="65574B8F" w14:textId="0A65BD77" w:rsidR="00ED5A5F" w:rsidRDefault="000E70DB" w:rsidP="00E81485">
      <w:pPr>
        <w:shd w:val="clear" w:color="auto" w:fill="FFFFFF"/>
        <w:spacing w:after="0" w:line="240" w:lineRule="auto"/>
        <w:jc w:val="both"/>
        <w:rPr>
          <w:rFonts w:ascii="Trebuchet MS" w:hAnsi="Trebuchet MS"/>
        </w:rPr>
      </w:pPr>
      <w:r>
        <w:rPr>
          <w:rFonts w:ascii="Trebuchet MS" w:hAnsi="Trebuchet MS"/>
        </w:rPr>
        <w:t xml:space="preserve">Ferrada aclara </w:t>
      </w:r>
      <w:r w:rsidR="00617EB6">
        <w:rPr>
          <w:rFonts w:ascii="Trebuchet MS" w:hAnsi="Trebuchet MS"/>
        </w:rPr>
        <w:t>que,</w:t>
      </w:r>
      <w:r>
        <w:rPr>
          <w:rFonts w:ascii="Trebuchet MS" w:hAnsi="Trebuchet MS"/>
        </w:rPr>
        <w:t xml:space="preserve"> si </w:t>
      </w:r>
      <w:r w:rsidR="00617EB6">
        <w:rPr>
          <w:rFonts w:ascii="Trebuchet MS" w:hAnsi="Trebuchet MS"/>
        </w:rPr>
        <w:t>bien se</w:t>
      </w:r>
      <w:r w:rsidR="00ED5A5F" w:rsidRPr="00ED5A5F">
        <w:rPr>
          <w:rFonts w:ascii="Trebuchet MS" w:hAnsi="Trebuchet MS"/>
        </w:rPr>
        <w:t xml:space="preserve"> produce una objetivación de los supuestos en que la Administración del Estado debe responder por los daños que infiere a los particulares, </w:t>
      </w:r>
      <w:r w:rsidR="00B508AC">
        <w:rPr>
          <w:rFonts w:ascii="Trebuchet MS" w:hAnsi="Trebuchet MS"/>
        </w:rPr>
        <w:t>“</w:t>
      </w:r>
      <w:r w:rsidR="00ED5A5F" w:rsidRPr="00ED5A5F">
        <w:rPr>
          <w:rFonts w:ascii="Trebuchet MS" w:hAnsi="Trebuchet MS"/>
        </w:rPr>
        <w:t>ello no debe mover a decir que se trata de una responsabilidad objetiva o por el riesgo, a pesar de que alguna jurisprudencia nacional lo ha dicho</w:t>
      </w:r>
      <w:r w:rsidR="001C25C4">
        <w:rPr>
          <w:rFonts w:ascii="Trebuchet MS" w:hAnsi="Trebuchet MS"/>
        </w:rPr>
        <w:t xml:space="preserve">, pues el </w:t>
      </w:r>
      <w:r w:rsidR="00ED5A5F" w:rsidRPr="00ED5A5F">
        <w:rPr>
          <w:rFonts w:ascii="Trebuchet MS" w:hAnsi="Trebuchet MS"/>
        </w:rPr>
        <w:t>sistema objetivo o por el riesgo supone simplemente la acción del riesgo que ocasiona el daño, sin relación a falta alguna</w:t>
      </w:r>
      <w:r w:rsidR="00B508AC">
        <w:rPr>
          <w:rFonts w:ascii="Trebuchet MS" w:hAnsi="Trebuchet MS"/>
        </w:rPr>
        <w:t>”</w:t>
      </w:r>
      <w:r w:rsidR="00ED5A5F" w:rsidRPr="00ED5A5F">
        <w:rPr>
          <w:rFonts w:ascii="Trebuchet MS" w:hAnsi="Trebuchet MS"/>
        </w:rPr>
        <w:t xml:space="preserve">. </w:t>
      </w:r>
      <w:r w:rsidR="00B508AC">
        <w:rPr>
          <w:rStyle w:val="Refdenotaalpie"/>
          <w:rFonts w:ascii="Trebuchet MS" w:hAnsi="Trebuchet MS"/>
        </w:rPr>
        <w:footnoteReference w:id="26"/>
      </w:r>
      <w:r w:rsidR="00B508AC">
        <w:rPr>
          <w:rFonts w:ascii="Trebuchet MS" w:hAnsi="Trebuchet MS"/>
        </w:rPr>
        <w:t xml:space="preserve">De modo que basta con probar que el órgano administrativo </w:t>
      </w:r>
      <w:r w:rsidR="00617EB6">
        <w:rPr>
          <w:rFonts w:ascii="Trebuchet MS" w:hAnsi="Trebuchet MS"/>
        </w:rPr>
        <w:t>actuó, y</w:t>
      </w:r>
      <w:r w:rsidR="00B508AC">
        <w:rPr>
          <w:rFonts w:ascii="Trebuchet MS" w:hAnsi="Trebuchet MS"/>
        </w:rPr>
        <w:t xml:space="preserve"> su actuación lesionó derechos del administrado, no siendo exigi</w:t>
      </w:r>
      <w:r w:rsidR="00A3621E">
        <w:rPr>
          <w:rFonts w:ascii="Trebuchet MS" w:hAnsi="Trebuchet MS"/>
        </w:rPr>
        <w:t>ble que al actuar lo h</w:t>
      </w:r>
      <w:r w:rsidR="00C7775E">
        <w:rPr>
          <w:rFonts w:ascii="Trebuchet MS" w:hAnsi="Trebuchet MS"/>
        </w:rPr>
        <w:t>aya hecho cometiendo una falta.</w:t>
      </w:r>
      <w:r w:rsidR="00B508AC">
        <w:rPr>
          <w:rFonts w:ascii="Trebuchet MS" w:hAnsi="Trebuchet MS"/>
        </w:rPr>
        <w:t xml:space="preserve"> </w:t>
      </w:r>
    </w:p>
    <w:p w14:paraId="03246983" w14:textId="77777777" w:rsidR="00E81485" w:rsidRPr="00E81485" w:rsidRDefault="00E81485" w:rsidP="00E81485">
      <w:pPr>
        <w:shd w:val="clear" w:color="auto" w:fill="FFFFFF"/>
        <w:spacing w:after="0" w:line="240" w:lineRule="auto"/>
        <w:jc w:val="both"/>
        <w:rPr>
          <w:rFonts w:ascii="Trebuchet MS" w:hAnsi="Trebuchet MS"/>
        </w:rPr>
      </w:pPr>
    </w:p>
    <w:p w14:paraId="0CE28C38" w14:textId="4CBC012F" w:rsidR="00CD33EB" w:rsidRDefault="00CD33EB" w:rsidP="00CD33EB">
      <w:pPr>
        <w:shd w:val="clear" w:color="auto" w:fill="FFFFFF"/>
        <w:spacing w:after="0" w:line="240" w:lineRule="auto"/>
        <w:jc w:val="both"/>
        <w:rPr>
          <w:rFonts w:ascii="Trebuchet MS" w:hAnsi="Trebuchet MS"/>
        </w:rPr>
      </w:pPr>
      <w:r>
        <w:rPr>
          <w:rFonts w:ascii="Trebuchet MS" w:hAnsi="Trebuchet MS"/>
        </w:rPr>
        <w:t xml:space="preserve">Por ello, el </w:t>
      </w:r>
      <w:proofErr w:type="gramStart"/>
      <w:r>
        <w:rPr>
          <w:rFonts w:ascii="Trebuchet MS" w:hAnsi="Trebuchet MS"/>
        </w:rPr>
        <w:t>Ministro</w:t>
      </w:r>
      <w:proofErr w:type="gramEnd"/>
      <w:r>
        <w:rPr>
          <w:rFonts w:ascii="Trebuchet MS" w:hAnsi="Trebuchet MS"/>
        </w:rPr>
        <w:t xml:space="preserve"> Muñoz es claro en señalar </w:t>
      </w:r>
      <w:r w:rsidR="00617EB6">
        <w:rPr>
          <w:rFonts w:ascii="Trebuchet MS" w:hAnsi="Trebuchet MS"/>
        </w:rPr>
        <w:t>que no</w:t>
      </w:r>
      <w:r>
        <w:rPr>
          <w:rFonts w:ascii="Trebuchet MS" w:hAnsi="Trebuchet MS"/>
        </w:rPr>
        <w:t xml:space="preserve"> procede aplicar a la Administración del Estado las reglas de responsabilidad que establece el Código Civil, no concordando con la jurisprudencia de la Corte que ha señalado que ésta “[…] no es más que la materialización, en el ámbito de la Administración Pública, del concepto de responsabilidad contenido […] en el artículo 2314 del Código Civil”</w:t>
      </w:r>
      <w:r>
        <w:rPr>
          <w:rStyle w:val="Refdenotaalpie"/>
          <w:rFonts w:ascii="Trebuchet MS" w:hAnsi="Trebuchet MS"/>
        </w:rPr>
        <w:footnoteReference w:id="27"/>
      </w:r>
      <w:r>
        <w:rPr>
          <w:rFonts w:ascii="Trebuchet MS" w:hAnsi="Trebuchet MS"/>
        </w:rPr>
        <w:t xml:space="preserve">.  La que afirma que, “este factor de imputación, al ser reconducido a las normas del Código Civil, determina que la responsabilidad se genera cuando el servicio se presta de forma negligente” </w:t>
      </w:r>
      <w:r>
        <w:rPr>
          <w:rStyle w:val="Refdenotaalpie"/>
          <w:rFonts w:ascii="Trebuchet MS" w:hAnsi="Trebuchet MS"/>
        </w:rPr>
        <w:footnoteReference w:id="28"/>
      </w:r>
      <w:r>
        <w:rPr>
          <w:rFonts w:ascii="Trebuchet MS" w:hAnsi="Trebuchet MS"/>
        </w:rPr>
        <w:t xml:space="preserve">; </w:t>
      </w:r>
      <w:r w:rsidR="00617EB6">
        <w:rPr>
          <w:rFonts w:ascii="Trebuchet MS" w:hAnsi="Trebuchet MS"/>
        </w:rPr>
        <w:t>que “</w:t>
      </w:r>
      <w:r>
        <w:rPr>
          <w:rFonts w:ascii="Trebuchet MS" w:hAnsi="Trebuchet MS"/>
        </w:rPr>
        <w:t xml:space="preserve">[…] la falta de servicio es considerada como "la culpa del Servicio” </w:t>
      </w:r>
      <w:r>
        <w:rPr>
          <w:rStyle w:val="Refdenotaalpie"/>
          <w:rFonts w:ascii="Trebuchet MS" w:hAnsi="Trebuchet MS"/>
        </w:rPr>
        <w:footnoteReference w:id="29"/>
      </w:r>
      <w:r>
        <w:rPr>
          <w:rFonts w:ascii="Trebuchet MS" w:hAnsi="Trebuchet MS"/>
        </w:rPr>
        <w:t xml:space="preserve">.  O </w:t>
      </w:r>
      <w:r w:rsidR="00617EB6">
        <w:rPr>
          <w:rFonts w:ascii="Trebuchet MS" w:hAnsi="Trebuchet MS"/>
        </w:rPr>
        <w:t>que, “</w:t>
      </w:r>
      <w:r>
        <w:rPr>
          <w:rFonts w:ascii="Trebuchet MS" w:hAnsi="Trebuchet MS"/>
        </w:rPr>
        <w:t xml:space="preserve">en efecto, al Estado como a los otros entes públicos administrativos pueden serle aplicadas de manera diversa las normas del Título XXXV del Código Civil, sin que esto implique desde luego una errada interpretación de </w:t>
      </w:r>
      <w:proofErr w:type="gramStart"/>
      <w:r>
        <w:rPr>
          <w:rFonts w:ascii="Trebuchet MS" w:hAnsi="Trebuchet MS"/>
        </w:rPr>
        <w:t>las mismas</w:t>
      </w:r>
      <w:proofErr w:type="gramEnd"/>
      <w:r>
        <w:rPr>
          <w:rFonts w:ascii="Trebuchet MS" w:hAnsi="Trebuchet MS"/>
        </w:rPr>
        <w:t xml:space="preserve">” </w:t>
      </w:r>
      <w:r>
        <w:rPr>
          <w:rStyle w:val="Refdenotaalpie"/>
          <w:rFonts w:ascii="Trebuchet MS" w:hAnsi="Trebuchet MS"/>
        </w:rPr>
        <w:footnoteReference w:id="30"/>
      </w:r>
      <w:r>
        <w:rPr>
          <w:rFonts w:ascii="Trebuchet MS" w:hAnsi="Trebuchet MS"/>
        </w:rPr>
        <w:t>.</w:t>
      </w:r>
    </w:p>
    <w:p w14:paraId="6A29EE1F" w14:textId="77777777" w:rsidR="00CD33EB" w:rsidRDefault="00CD33EB" w:rsidP="00CD33EB">
      <w:pPr>
        <w:pStyle w:val="Prrafodelista"/>
        <w:shd w:val="clear" w:color="auto" w:fill="FFFFFF"/>
        <w:spacing w:after="0" w:line="240" w:lineRule="auto"/>
        <w:jc w:val="both"/>
        <w:rPr>
          <w:rFonts w:ascii="Trebuchet MS" w:hAnsi="Trebuchet MS"/>
        </w:rPr>
      </w:pPr>
    </w:p>
    <w:p w14:paraId="65A11ACA" w14:textId="5123E11E" w:rsidR="00CD33EB" w:rsidRDefault="00CD33EB" w:rsidP="00CD33EB">
      <w:pPr>
        <w:shd w:val="clear" w:color="auto" w:fill="FFFFFF"/>
        <w:spacing w:after="0" w:line="240" w:lineRule="auto"/>
        <w:jc w:val="both"/>
        <w:rPr>
          <w:rFonts w:ascii="Trebuchet MS" w:hAnsi="Trebuchet MS"/>
        </w:rPr>
      </w:pPr>
      <w:r>
        <w:rPr>
          <w:rFonts w:ascii="Trebuchet MS" w:hAnsi="Trebuchet MS"/>
        </w:rPr>
        <w:t xml:space="preserve">Coincidimos con el </w:t>
      </w:r>
      <w:proofErr w:type="gramStart"/>
      <w:r>
        <w:rPr>
          <w:rFonts w:ascii="Trebuchet MS" w:hAnsi="Trebuchet MS"/>
        </w:rPr>
        <w:t>Ministro</w:t>
      </w:r>
      <w:proofErr w:type="gramEnd"/>
      <w:r>
        <w:rPr>
          <w:rFonts w:ascii="Trebuchet MS" w:hAnsi="Trebuchet MS"/>
        </w:rPr>
        <w:t xml:space="preserve"> señor Muñoz en que “la noción de falta de servicio […] excluye toda posibilidad de reconducción al Código </w:t>
      </w:r>
      <w:r w:rsidR="00617EB6">
        <w:rPr>
          <w:rFonts w:ascii="Trebuchet MS" w:hAnsi="Trebuchet MS"/>
        </w:rPr>
        <w:t>Civil,</w:t>
      </w:r>
      <w:r>
        <w:rPr>
          <w:rFonts w:ascii="Trebuchet MS" w:hAnsi="Trebuchet MS"/>
        </w:rPr>
        <w:t xml:space="preserve"> cuestión que impide adicionar exigencias relacionadas con el dolo o culpa del funcionario que actuó como al establecimiento de negligencia, imprudencia, impericia e inobservancia de reglamentos por parte de la administración o el funcionario”.</w:t>
      </w:r>
      <w:r>
        <w:rPr>
          <w:rStyle w:val="Refdenotaalpie"/>
          <w:rFonts w:ascii="Trebuchet MS" w:hAnsi="Trebuchet MS"/>
        </w:rPr>
        <w:footnoteReference w:id="31"/>
      </w:r>
      <w:r>
        <w:rPr>
          <w:rFonts w:ascii="Trebuchet MS" w:hAnsi="Trebuchet MS"/>
        </w:rPr>
        <w:t xml:space="preserve"> </w:t>
      </w:r>
    </w:p>
    <w:p w14:paraId="02E93F4C" w14:textId="77777777" w:rsidR="00CD33EB" w:rsidRPr="00671903" w:rsidRDefault="00CD33EB" w:rsidP="00671903">
      <w:pPr>
        <w:shd w:val="clear" w:color="auto" w:fill="FFFFFF"/>
        <w:spacing w:after="0" w:line="240" w:lineRule="auto"/>
        <w:jc w:val="both"/>
        <w:rPr>
          <w:highlight w:val="yellow"/>
        </w:rPr>
      </w:pPr>
    </w:p>
    <w:p w14:paraId="439FD4CD" w14:textId="783E8C52" w:rsidR="00B46066" w:rsidRDefault="00C7775E" w:rsidP="00707038">
      <w:pPr>
        <w:jc w:val="both"/>
        <w:rPr>
          <w:rFonts w:ascii="Trebuchet MS" w:hAnsi="Trebuchet MS"/>
        </w:rPr>
      </w:pPr>
      <w:r w:rsidRPr="00E81485">
        <w:rPr>
          <w:rFonts w:ascii="Trebuchet MS" w:hAnsi="Trebuchet MS"/>
        </w:rPr>
        <w:t>D</w:t>
      </w:r>
      <w:r w:rsidR="00E81485">
        <w:rPr>
          <w:rFonts w:ascii="Trebuchet MS" w:hAnsi="Trebuchet MS"/>
        </w:rPr>
        <w:t>e</w:t>
      </w:r>
      <w:r w:rsidRPr="00E81485">
        <w:rPr>
          <w:rFonts w:ascii="Trebuchet MS" w:hAnsi="Trebuchet MS"/>
        </w:rPr>
        <w:t xml:space="preserve"> ahí que </w:t>
      </w:r>
      <w:r w:rsidRPr="00D132B2">
        <w:rPr>
          <w:rFonts w:ascii="Trebuchet MS" w:hAnsi="Trebuchet MS"/>
          <w:u w:val="single"/>
        </w:rPr>
        <w:t xml:space="preserve">el </w:t>
      </w:r>
      <w:r w:rsidR="00D132B2" w:rsidRPr="00D132B2">
        <w:rPr>
          <w:rFonts w:ascii="Trebuchet MS" w:hAnsi="Trebuchet MS"/>
          <w:u w:val="single"/>
        </w:rPr>
        <w:t>p</w:t>
      </w:r>
      <w:r w:rsidRPr="00D132B2">
        <w:rPr>
          <w:rFonts w:ascii="Trebuchet MS" w:hAnsi="Trebuchet MS"/>
          <w:u w:val="single"/>
        </w:rPr>
        <w:t xml:space="preserve">royecto de ley </w:t>
      </w:r>
      <w:r w:rsidR="00E81485" w:rsidRPr="00D132B2">
        <w:rPr>
          <w:rFonts w:ascii="Trebuchet MS" w:hAnsi="Trebuchet MS"/>
          <w:u w:val="single"/>
        </w:rPr>
        <w:t xml:space="preserve">proponga establecer </w:t>
      </w:r>
      <w:r w:rsidRPr="00D132B2">
        <w:rPr>
          <w:rFonts w:ascii="Trebuchet MS" w:hAnsi="Trebuchet MS"/>
          <w:u w:val="single"/>
        </w:rPr>
        <w:t xml:space="preserve">expresamente </w:t>
      </w:r>
      <w:r w:rsidR="00E81485" w:rsidRPr="00D132B2">
        <w:rPr>
          <w:rFonts w:ascii="Trebuchet MS" w:hAnsi="Trebuchet MS"/>
          <w:u w:val="single"/>
        </w:rPr>
        <w:t>en el articulo 14</w:t>
      </w:r>
      <w:r w:rsidR="007B1A37">
        <w:rPr>
          <w:rFonts w:ascii="Trebuchet MS" w:hAnsi="Trebuchet MS"/>
          <w:u w:val="single"/>
        </w:rPr>
        <w:t xml:space="preserve">- </w:t>
      </w:r>
      <w:r w:rsidR="007B1A37" w:rsidRPr="007B1A37">
        <w:rPr>
          <w:rFonts w:ascii="Trebuchet MS" w:hAnsi="Trebuchet MS"/>
        </w:rPr>
        <w:t>actualmente derogado</w:t>
      </w:r>
      <w:r w:rsidR="00617EB6" w:rsidRPr="007B1A37">
        <w:rPr>
          <w:rFonts w:ascii="Trebuchet MS" w:hAnsi="Trebuchet MS"/>
        </w:rPr>
        <w:t>- que</w:t>
      </w:r>
      <w:r w:rsidR="00E81485" w:rsidRPr="007B1A37">
        <w:rPr>
          <w:rFonts w:ascii="Trebuchet MS" w:hAnsi="Trebuchet MS"/>
        </w:rPr>
        <w:t>:</w:t>
      </w:r>
      <w:r w:rsidR="00E81485" w:rsidRPr="00D132B2">
        <w:rPr>
          <w:rFonts w:ascii="Trebuchet MS" w:hAnsi="Trebuchet MS"/>
          <w:u w:val="single"/>
        </w:rPr>
        <w:t xml:space="preserve"> </w:t>
      </w:r>
      <w:r w:rsidR="00E81485" w:rsidRPr="00D132B2">
        <w:rPr>
          <w:rFonts w:ascii="Trebuchet MS" w:hAnsi="Trebuchet MS"/>
          <w:sz w:val="20"/>
          <w:szCs w:val="20"/>
          <w:u w:val="single"/>
        </w:rPr>
        <w:t>“</w:t>
      </w:r>
      <w:r w:rsidR="00E81485" w:rsidRPr="00D132B2">
        <w:rPr>
          <w:rFonts w:ascii="Trebuchet MS" w:hAnsi="Trebuchet MS"/>
          <w:u w:val="single"/>
          <w:lang w:val="es-ES"/>
        </w:rPr>
        <w:t xml:space="preserve">La responsabilidad por falta de servicio es </w:t>
      </w:r>
      <w:r w:rsidR="00617EB6" w:rsidRPr="00D132B2">
        <w:rPr>
          <w:rFonts w:ascii="Trebuchet MS" w:hAnsi="Trebuchet MS"/>
          <w:u w:val="single"/>
          <w:lang w:val="es-ES"/>
        </w:rPr>
        <w:t>un</w:t>
      </w:r>
      <w:r w:rsidR="00617EB6" w:rsidRPr="00D132B2">
        <w:rPr>
          <w:rFonts w:ascii="Trebuchet MS" w:hAnsi="Trebuchet MS"/>
          <w:b/>
          <w:bCs/>
          <w:u w:val="single"/>
          <w:lang w:val="es-ES"/>
        </w:rPr>
        <w:t xml:space="preserve"> </w:t>
      </w:r>
      <w:r w:rsidR="00617EB6" w:rsidRPr="00D132B2">
        <w:rPr>
          <w:rFonts w:ascii="Trebuchet MS" w:hAnsi="Trebuchet MS"/>
          <w:u w:val="single"/>
        </w:rPr>
        <w:t>régimen</w:t>
      </w:r>
      <w:r w:rsidR="00E81485" w:rsidRPr="00D132B2">
        <w:rPr>
          <w:rFonts w:ascii="Trebuchet MS" w:hAnsi="Trebuchet MS"/>
          <w:u w:val="single"/>
        </w:rPr>
        <w:t xml:space="preserve"> de responsabilidad anónima. Imputa responsabilidad al órgano por su mal funcionamiento con </w:t>
      </w:r>
      <w:r w:rsidR="00617EB6" w:rsidRPr="00D132B2">
        <w:rPr>
          <w:rFonts w:ascii="Trebuchet MS" w:hAnsi="Trebuchet MS"/>
          <w:u w:val="single"/>
        </w:rPr>
        <w:t>independencia de</w:t>
      </w:r>
      <w:r w:rsidR="00E81485" w:rsidRPr="00D132B2">
        <w:rPr>
          <w:rFonts w:ascii="Trebuchet MS" w:hAnsi="Trebuchet MS"/>
          <w:u w:val="single"/>
        </w:rPr>
        <w:t xml:space="preserve"> la identificación de funcionarios específicos </w:t>
      </w:r>
      <w:r w:rsidR="00707038">
        <w:rPr>
          <w:rFonts w:ascii="Trebuchet MS" w:hAnsi="Trebuchet MS"/>
          <w:u w:val="single"/>
        </w:rPr>
        <w:t>y</w:t>
      </w:r>
      <w:r w:rsidR="00E81485" w:rsidRPr="00D132B2">
        <w:rPr>
          <w:rFonts w:ascii="Trebuchet MS" w:hAnsi="Trebuchet MS"/>
          <w:u w:val="single"/>
        </w:rPr>
        <w:t xml:space="preserve"> de su culpa en la producción de los daños.  No obstante, no es un régimen de responsabilidad objetiva, pues exige la ocurrencia de una anormalidad en la prestación del servicio</w:t>
      </w:r>
      <w:r w:rsidR="00E81485" w:rsidRPr="00E81485">
        <w:rPr>
          <w:rFonts w:ascii="Trebuchet MS" w:hAnsi="Trebuchet MS"/>
        </w:rPr>
        <w:t xml:space="preserve">”. </w:t>
      </w:r>
    </w:p>
    <w:p w14:paraId="180B05B1" w14:textId="0EB34F0C" w:rsidR="00707038" w:rsidRDefault="00B46066" w:rsidP="00E81485">
      <w:pPr>
        <w:jc w:val="both"/>
        <w:rPr>
          <w:rFonts w:ascii="Trebuchet MS" w:hAnsi="Trebuchet MS"/>
        </w:rPr>
      </w:pPr>
      <w:r>
        <w:rPr>
          <w:rFonts w:ascii="Trebuchet MS" w:hAnsi="Trebuchet MS"/>
          <w:lang w:val="es-ES"/>
        </w:rPr>
        <w:t xml:space="preserve">Del mismo modo, a fin de clarificar que se rige por las normas especiales aplicables a la administración </w:t>
      </w:r>
      <w:r w:rsidR="00617EB6">
        <w:rPr>
          <w:rFonts w:ascii="Trebuchet MS" w:hAnsi="Trebuchet MS"/>
          <w:lang w:val="es-ES"/>
        </w:rPr>
        <w:t>y no</w:t>
      </w:r>
      <w:r>
        <w:rPr>
          <w:rFonts w:ascii="Trebuchet MS" w:hAnsi="Trebuchet MS"/>
          <w:lang w:val="es-ES"/>
        </w:rPr>
        <w:t xml:space="preserve"> a los </w:t>
      </w:r>
      <w:r w:rsidR="00617EB6">
        <w:rPr>
          <w:rFonts w:ascii="Trebuchet MS" w:hAnsi="Trebuchet MS"/>
          <w:lang w:val="es-ES"/>
        </w:rPr>
        <w:t>particulares, se</w:t>
      </w:r>
      <w:r>
        <w:rPr>
          <w:rFonts w:ascii="Trebuchet MS" w:hAnsi="Trebuchet MS"/>
          <w:lang w:val="es-ES"/>
        </w:rPr>
        <w:t xml:space="preserve"> agrega</w:t>
      </w:r>
      <w:r w:rsidR="00707038" w:rsidRPr="00D6539A">
        <w:rPr>
          <w:rFonts w:ascii="Trebuchet MS" w:hAnsi="Trebuchet MS"/>
          <w:lang w:val="es-ES"/>
        </w:rPr>
        <w:t xml:space="preserve"> </w:t>
      </w:r>
      <w:r>
        <w:rPr>
          <w:rFonts w:ascii="Trebuchet MS" w:hAnsi="Trebuchet MS"/>
          <w:lang w:val="es-ES"/>
        </w:rPr>
        <w:t xml:space="preserve">en su inciso tercero, </w:t>
      </w:r>
      <w:r w:rsidR="00617EB6" w:rsidRPr="00D6539A">
        <w:rPr>
          <w:rFonts w:ascii="Trebuchet MS" w:hAnsi="Trebuchet MS"/>
          <w:lang w:val="es-ES"/>
        </w:rPr>
        <w:t>que,</w:t>
      </w:r>
      <w:r w:rsidR="00707038" w:rsidRPr="00D6539A">
        <w:rPr>
          <w:rFonts w:ascii="Trebuchet MS" w:hAnsi="Trebuchet MS"/>
          <w:lang w:val="es-ES"/>
        </w:rPr>
        <w:t xml:space="preserve"> </w:t>
      </w:r>
      <w:r w:rsidR="00D6539A" w:rsidRPr="00D6539A">
        <w:rPr>
          <w:rFonts w:ascii="Trebuchet MS" w:hAnsi="Trebuchet MS"/>
          <w:u w:val="single"/>
          <w:lang w:val="es-ES"/>
        </w:rPr>
        <w:t>l</w:t>
      </w:r>
      <w:r w:rsidR="00707038" w:rsidRPr="00D6539A">
        <w:rPr>
          <w:rFonts w:ascii="Trebuchet MS" w:hAnsi="Trebuchet MS"/>
          <w:u w:val="single"/>
          <w:lang w:val="es-ES"/>
        </w:rPr>
        <w:t xml:space="preserve">a responsabilidad por falta de servicio se regirá por las normas generales que se establecen en esta ley, </w:t>
      </w:r>
      <w:r w:rsidR="00707038" w:rsidRPr="00D6539A">
        <w:rPr>
          <w:rFonts w:ascii="Trebuchet MS" w:hAnsi="Trebuchet MS"/>
          <w:u w:val="single"/>
        </w:rPr>
        <w:t xml:space="preserve">sin perjuicio de las normas especiales que   configuren subsistemas de responsabilidad patrimonial específicos en la Administración del Estado, ya sea </w:t>
      </w:r>
      <w:proofErr w:type="gramStart"/>
      <w:r w:rsidR="00707038" w:rsidRPr="00D6539A">
        <w:rPr>
          <w:rFonts w:ascii="Trebuchet MS" w:hAnsi="Trebuchet MS"/>
          <w:u w:val="single"/>
        </w:rPr>
        <w:t>en razón de</w:t>
      </w:r>
      <w:proofErr w:type="gramEnd"/>
      <w:r w:rsidR="00707038" w:rsidRPr="00D6539A">
        <w:rPr>
          <w:rFonts w:ascii="Trebuchet MS" w:hAnsi="Trebuchet MS"/>
          <w:u w:val="single"/>
        </w:rPr>
        <w:t xml:space="preserve"> determinados órganos u actuaciones</w:t>
      </w:r>
      <w:r w:rsidR="00D6539A">
        <w:rPr>
          <w:rFonts w:ascii="Trebuchet MS" w:hAnsi="Trebuchet MS"/>
        </w:rPr>
        <w:t>”</w:t>
      </w:r>
      <w:r w:rsidR="00707038" w:rsidRPr="00D6539A">
        <w:rPr>
          <w:rFonts w:ascii="Trebuchet MS" w:hAnsi="Trebuchet MS"/>
        </w:rPr>
        <w:t xml:space="preserve">.     </w:t>
      </w:r>
    </w:p>
    <w:p w14:paraId="30722262" w14:textId="77777777" w:rsidR="00695DF4" w:rsidRPr="00671903" w:rsidRDefault="00695DF4" w:rsidP="00671903">
      <w:pPr>
        <w:shd w:val="clear" w:color="auto" w:fill="FFFFFF"/>
        <w:spacing w:after="0" w:line="240" w:lineRule="auto"/>
        <w:jc w:val="both"/>
        <w:rPr>
          <w:rFonts w:ascii="Trebuchet MS" w:hAnsi="Trebuchet MS"/>
          <w:highlight w:val="yellow"/>
        </w:rPr>
      </w:pPr>
    </w:p>
    <w:p w14:paraId="75442360" w14:textId="77777777" w:rsidR="00C3307B" w:rsidRDefault="00C3307B" w:rsidP="00C3307B">
      <w:pPr>
        <w:pStyle w:val="Prrafodelista"/>
        <w:numPr>
          <w:ilvl w:val="0"/>
          <w:numId w:val="26"/>
        </w:numPr>
        <w:spacing w:line="252" w:lineRule="auto"/>
        <w:ind w:left="1134" w:hanging="1134"/>
        <w:jc w:val="both"/>
        <w:rPr>
          <w:rFonts w:ascii="Trebuchet MS" w:hAnsi="Trebuchet MS"/>
          <w:sz w:val="24"/>
          <w:szCs w:val="24"/>
        </w:rPr>
      </w:pPr>
      <w:r w:rsidRPr="006A09E8">
        <w:rPr>
          <w:rFonts w:ascii="Trebuchet MS" w:hAnsi="Trebuchet MS"/>
        </w:rPr>
        <w:t>ÓRGANOS SUJETOS A RESPONSABILIDAD ADMINISTRATIVA</w:t>
      </w:r>
      <w:r w:rsidRPr="006A09E8">
        <w:rPr>
          <w:rFonts w:ascii="Trebuchet MS" w:hAnsi="Trebuchet MS"/>
          <w:sz w:val="24"/>
          <w:szCs w:val="24"/>
        </w:rPr>
        <w:t>.</w:t>
      </w:r>
    </w:p>
    <w:p w14:paraId="520E0000" w14:textId="77777777" w:rsidR="00C3307B" w:rsidRPr="006A09E8" w:rsidRDefault="00C3307B" w:rsidP="00C3307B">
      <w:pPr>
        <w:pStyle w:val="Prrafodelista"/>
        <w:spacing w:line="252" w:lineRule="auto"/>
        <w:ind w:left="1134"/>
        <w:jc w:val="both"/>
        <w:rPr>
          <w:rFonts w:ascii="Trebuchet MS" w:hAnsi="Trebuchet MS"/>
          <w:sz w:val="14"/>
          <w:szCs w:val="14"/>
        </w:rPr>
      </w:pPr>
    </w:p>
    <w:p w14:paraId="7E22F004" w14:textId="77777777" w:rsidR="00C3307B" w:rsidRPr="00E607E6" w:rsidRDefault="00C3307B" w:rsidP="00C3307B">
      <w:pPr>
        <w:shd w:val="clear" w:color="auto" w:fill="FFFFFF"/>
        <w:spacing w:after="0" w:line="240" w:lineRule="auto"/>
        <w:jc w:val="both"/>
        <w:rPr>
          <w:rFonts w:ascii="Trebuchet MS" w:hAnsi="Trebuchet MS"/>
        </w:rPr>
      </w:pPr>
      <w:r w:rsidRPr="00E607E6">
        <w:rPr>
          <w:rFonts w:ascii="Trebuchet MS" w:hAnsi="Trebuchet MS"/>
        </w:rPr>
        <w:t xml:space="preserve">El artículo 42 señala que los órganos de la Administración serán responsables del daño que causen por falta de servicio. </w:t>
      </w:r>
      <w:r>
        <w:rPr>
          <w:rFonts w:ascii="Trebuchet MS" w:hAnsi="Trebuchet MS"/>
        </w:rPr>
        <w:t xml:space="preserve">El </w:t>
      </w:r>
      <w:r w:rsidRPr="009956D8">
        <w:rPr>
          <w:rFonts w:ascii="Trebuchet MS" w:hAnsi="Trebuchet MS"/>
        </w:rPr>
        <w:t>artículo 21</w:t>
      </w:r>
      <w:r>
        <w:rPr>
          <w:rFonts w:ascii="Trebuchet MS" w:hAnsi="Trebuchet MS"/>
        </w:rPr>
        <w:t>, por su parte, señala que “l</w:t>
      </w:r>
      <w:r w:rsidRPr="00E607E6">
        <w:rPr>
          <w:rFonts w:ascii="Trebuchet MS" w:hAnsi="Trebuchet MS"/>
        </w:rPr>
        <w:t>a organización básica de los Ministerios, las Intendencias, las Gobernaciones y los servicios públicos creados para el cumplimiento de la función administrativa, será la establecida en este Título</w:t>
      </w:r>
      <w:r>
        <w:rPr>
          <w:rFonts w:ascii="Trebuchet MS" w:hAnsi="Trebuchet MS"/>
        </w:rPr>
        <w:t>”, agregando que “l</w:t>
      </w:r>
      <w:r w:rsidRPr="00E607E6">
        <w:rPr>
          <w:rFonts w:ascii="Trebuchet MS" w:hAnsi="Trebuchet MS"/>
        </w:rPr>
        <w:t>as normas del presente Título no se aplicarán a la Contraloría General de la República, al Banco Central, a las Fuerzas Armadas y a las Fuerzas de Orden y Seguridad Pública, los Gobiernos Regionales, a las Municipalidades, al Consejo Nacional de Televisión, al Consejo para la Transparencia y a las empresas públicas creadas por ley, órganos que se regirán por las normas constitucionales pertinentes y por sus respectivas leyes orgánicas constitucionales o de quórum calificado, según corresponda</w:t>
      </w:r>
      <w:r>
        <w:rPr>
          <w:rFonts w:ascii="Trebuchet MS" w:hAnsi="Trebuchet MS"/>
        </w:rPr>
        <w:t>”</w:t>
      </w:r>
      <w:r w:rsidRPr="00E607E6">
        <w:rPr>
          <w:rFonts w:ascii="Trebuchet MS" w:hAnsi="Trebuchet MS"/>
        </w:rPr>
        <w:t>.</w:t>
      </w:r>
    </w:p>
    <w:p w14:paraId="1D5EB880" w14:textId="77777777" w:rsidR="00C3307B" w:rsidRDefault="00C3307B" w:rsidP="00C3307B">
      <w:pPr>
        <w:shd w:val="clear" w:color="auto" w:fill="FFFFFF"/>
        <w:spacing w:after="0" w:line="240" w:lineRule="auto"/>
        <w:jc w:val="both"/>
        <w:rPr>
          <w:rFonts w:ascii="Trebuchet MS" w:hAnsi="Trebuchet MS"/>
        </w:rPr>
      </w:pPr>
    </w:p>
    <w:p w14:paraId="55D8C178" w14:textId="77777777" w:rsidR="00C3307B" w:rsidRDefault="00C3307B" w:rsidP="00C3307B">
      <w:pPr>
        <w:shd w:val="clear" w:color="auto" w:fill="FFFFFF"/>
        <w:spacing w:after="0" w:line="240" w:lineRule="auto"/>
        <w:jc w:val="both"/>
        <w:rPr>
          <w:rFonts w:ascii="Trebuchet MS" w:hAnsi="Trebuchet MS"/>
        </w:rPr>
      </w:pPr>
      <w:r w:rsidRPr="00E607E6">
        <w:rPr>
          <w:rFonts w:ascii="Trebuchet MS" w:hAnsi="Trebuchet MS"/>
        </w:rPr>
        <w:t xml:space="preserve">La Corte Suprema ha reflexionado sobre la aplicación del artículo 42 de la Ley de Bases Generales de la Administración del Estado, </w:t>
      </w:r>
      <w:r>
        <w:rPr>
          <w:rFonts w:ascii="Trebuchet MS" w:hAnsi="Trebuchet MS"/>
        </w:rPr>
        <w:t xml:space="preserve">con relación </w:t>
      </w:r>
      <w:r w:rsidRPr="00E607E6">
        <w:rPr>
          <w:rFonts w:ascii="Trebuchet MS" w:hAnsi="Trebuchet MS"/>
        </w:rPr>
        <w:t>al inci</w:t>
      </w:r>
      <w:r>
        <w:rPr>
          <w:rFonts w:ascii="Trebuchet MS" w:hAnsi="Trebuchet MS"/>
        </w:rPr>
        <w:t>so</w:t>
      </w:r>
      <w:r w:rsidRPr="00E607E6">
        <w:rPr>
          <w:rFonts w:ascii="Trebuchet MS" w:hAnsi="Trebuchet MS"/>
        </w:rPr>
        <w:t xml:space="preserve"> segundo del artículo 21 del mismo cuerpo legal </w:t>
      </w:r>
      <w:r>
        <w:rPr>
          <w:rFonts w:ascii="Trebuchet MS" w:hAnsi="Trebuchet MS"/>
        </w:rPr>
        <w:t xml:space="preserve">, con el fin de </w:t>
      </w:r>
      <w:r w:rsidRPr="00E607E6">
        <w:rPr>
          <w:rFonts w:ascii="Trebuchet MS" w:hAnsi="Trebuchet MS"/>
        </w:rPr>
        <w:t>“dilucidar qué sistema resulta aplicable a las instituciones excluidas</w:t>
      </w:r>
      <w:r>
        <w:rPr>
          <w:rFonts w:ascii="Trebuchet MS" w:hAnsi="Trebuchet MS"/>
        </w:rPr>
        <w:t>”</w:t>
      </w:r>
      <w:r w:rsidRPr="00E607E6">
        <w:rPr>
          <w:rFonts w:ascii="Trebuchet MS" w:hAnsi="Trebuchet MS"/>
        </w:rPr>
        <w:t>.</w:t>
      </w:r>
      <w:r>
        <w:rPr>
          <w:rStyle w:val="Refdenotaalpie"/>
          <w:rFonts w:ascii="Trebuchet MS" w:hAnsi="Trebuchet MS"/>
        </w:rPr>
        <w:footnoteReference w:id="32"/>
      </w:r>
      <w:r>
        <w:rPr>
          <w:rFonts w:ascii="Trebuchet MS" w:hAnsi="Trebuchet MS"/>
        </w:rPr>
        <w:t xml:space="preserve">   Señala que “p</w:t>
      </w:r>
      <w:r w:rsidRPr="00E607E6">
        <w:rPr>
          <w:rFonts w:ascii="Trebuchet MS" w:hAnsi="Trebuchet MS"/>
        </w:rPr>
        <w:t xml:space="preserve">ara ello ha de recurrirse al derecho común, teniendo presente que precisamente el desarrollo del derecho administrativo, allí donde ha ocurrido, ha sido a partir de la distinta interpretación de las normas de derecho común para el Estado y para las relaciones entre particulares, permitiendo de esta forma la conciliación de la actuación estatal, dotada de imperio público como guardiana del interés colectivo, con la protección de los derechos de los ciudadanos, de tal suerte que cabe aceptar la aplicación en nuestro país a partir del artículo 2314 del Código Civil de la noción de falta de servicio. En efecto, al Estado como a los otros entes públicos administrativos pueden serle aplicadas de manera diversa las normas del Título XXXV del Código Civil, sin que esto implique desde luego una errada interpretación de </w:t>
      </w:r>
      <w:proofErr w:type="gramStart"/>
      <w:r w:rsidRPr="00E607E6">
        <w:rPr>
          <w:rFonts w:ascii="Trebuchet MS" w:hAnsi="Trebuchet MS"/>
        </w:rPr>
        <w:t>las mismas</w:t>
      </w:r>
      <w:proofErr w:type="gramEnd"/>
      <w:r w:rsidRPr="00E607E6">
        <w:rPr>
          <w:rFonts w:ascii="Trebuchet MS" w:hAnsi="Trebuchet MS"/>
        </w:rPr>
        <w:t>”.</w:t>
      </w:r>
      <w:r>
        <w:rPr>
          <w:rStyle w:val="Refdenotaalpie"/>
          <w:rFonts w:ascii="Trebuchet MS" w:hAnsi="Trebuchet MS"/>
        </w:rPr>
        <w:footnoteReference w:id="33"/>
      </w:r>
      <w:r>
        <w:rPr>
          <w:rFonts w:ascii="Trebuchet MS" w:hAnsi="Trebuchet MS"/>
        </w:rPr>
        <w:t xml:space="preserve"> </w:t>
      </w:r>
    </w:p>
    <w:p w14:paraId="7782F08E" w14:textId="77777777" w:rsidR="00C3307B" w:rsidRPr="00E607E6" w:rsidRDefault="00C3307B" w:rsidP="00C3307B">
      <w:pPr>
        <w:shd w:val="clear" w:color="auto" w:fill="FFFFFF"/>
        <w:spacing w:after="0" w:line="240" w:lineRule="auto"/>
        <w:jc w:val="both"/>
        <w:rPr>
          <w:rFonts w:ascii="Trebuchet MS" w:hAnsi="Trebuchet MS"/>
        </w:rPr>
      </w:pPr>
    </w:p>
    <w:p w14:paraId="7553813A" w14:textId="77777777" w:rsidR="00C3307B" w:rsidRPr="00E607E6" w:rsidRDefault="00C3307B" w:rsidP="00C3307B">
      <w:pPr>
        <w:shd w:val="clear" w:color="auto" w:fill="FFFFFF"/>
        <w:spacing w:after="0" w:line="240" w:lineRule="auto"/>
        <w:jc w:val="both"/>
        <w:rPr>
          <w:rFonts w:ascii="Trebuchet MS" w:hAnsi="Trebuchet MS"/>
        </w:rPr>
      </w:pPr>
      <w:r w:rsidRPr="00E607E6">
        <w:rPr>
          <w:rFonts w:ascii="Trebuchet MS" w:hAnsi="Trebuchet MS"/>
        </w:rPr>
        <w:t>A esta materia se refirió también una prevención del Ministro S</w:t>
      </w:r>
      <w:r>
        <w:rPr>
          <w:rFonts w:ascii="Trebuchet MS" w:hAnsi="Trebuchet MS"/>
        </w:rPr>
        <w:t xml:space="preserve">ergio </w:t>
      </w:r>
      <w:r w:rsidRPr="00E607E6">
        <w:rPr>
          <w:rFonts w:ascii="Trebuchet MS" w:hAnsi="Trebuchet MS"/>
        </w:rPr>
        <w:t>Muñoz al manifestar que “</w:t>
      </w:r>
      <w:r>
        <w:rPr>
          <w:rFonts w:ascii="Trebuchet MS" w:hAnsi="Trebuchet MS"/>
        </w:rPr>
        <w:t>p</w:t>
      </w:r>
      <w:r w:rsidRPr="00E607E6">
        <w:rPr>
          <w:rFonts w:ascii="Trebuchet MS" w:hAnsi="Trebuchet MS"/>
        </w:rPr>
        <w:t xml:space="preserve">or la enunciación de los párrafos 1° y 2° del Título II de la Ley 18.575, como por las materias de que trata, </w:t>
      </w:r>
      <w:r>
        <w:rPr>
          <w:rFonts w:ascii="Trebuchet MS" w:hAnsi="Trebuchet MS"/>
        </w:rPr>
        <w:t xml:space="preserve">se </w:t>
      </w:r>
      <w:r w:rsidRPr="00E607E6">
        <w:rPr>
          <w:rFonts w:ascii="Trebuchet MS" w:hAnsi="Trebuchet MS"/>
        </w:rPr>
        <w:t xml:space="preserve">entiende que igualmente se aplica el artículo 42 a las reparticiones excluidas en el inciso segundo del artículo 21 (…) Es así como el artículo 42, en correspondencia con el artículo 4°, dispone que los “órganos de la Administración serán responsables del daño que causen por falta de servicio”. </w:t>
      </w:r>
      <w:r>
        <w:rPr>
          <w:rFonts w:ascii="Trebuchet MS" w:hAnsi="Trebuchet MS"/>
        </w:rPr>
        <w:t>Advierte, además, que “d</w:t>
      </w:r>
      <w:r w:rsidRPr="00E607E6">
        <w:rPr>
          <w:rFonts w:ascii="Trebuchet MS" w:hAnsi="Trebuchet MS"/>
        </w:rPr>
        <w:t xml:space="preserve">e estimarse excluida </w:t>
      </w:r>
      <w:r>
        <w:rPr>
          <w:rFonts w:ascii="Trebuchet MS" w:hAnsi="Trebuchet MS"/>
        </w:rPr>
        <w:t xml:space="preserve">la </w:t>
      </w:r>
      <w:r w:rsidRPr="00E607E6">
        <w:rPr>
          <w:rFonts w:ascii="Trebuchet MS" w:hAnsi="Trebuchet MS"/>
        </w:rPr>
        <w:t>aplicación de esta norma, debe regirse por el artículo 4°, el que singularmente, sin el complemento del artículo 42, podría entenderse que establecería una responsabilidad objetiva derivada únicamente de constatar un derecho lesionado que ocasione daños al administrado, circunstancia que corresponde descartar”.</w:t>
      </w:r>
      <w:r>
        <w:rPr>
          <w:rStyle w:val="Refdenotaalpie"/>
          <w:rFonts w:ascii="Trebuchet MS" w:hAnsi="Trebuchet MS"/>
        </w:rPr>
        <w:footnoteReference w:id="34"/>
      </w:r>
      <w:r w:rsidRPr="00E607E6">
        <w:rPr>
          <w:rFonts w:ascii="Trebuchet MS" w:hAnsi="Trebuchet MS"/>
        </w:rPr>
        <w:t xml:space="preserve"> </w:t>
      </w:r>
    </w:p>
    <w:p w14:paraId="1F9181D6" w14:textId="77777777" w:rsidR="00C3307B" w:rsidRPr="00C7362C" w:rsidRDefault="00C3307B" w:rsidP="00C3307B">
      <w:pPr>
        <w:jc w:val="both"/>
        <w:rPr>
          <w:rFonts w:ascii="Trebuchet MS" w:hAnsi="Trebuchet MS"/>
          <w:sz w:val="14"/>
          <w:szCs w:val="14"/>
        </w:rPr>
      </w:pPr>
    </w:p>
    <w:p w14:paraId="2C2EBAA5" w14:textId="77777777" w:rsidR="00C3307B" w:rsidRDefault="00C3307B" w:rsidP="00C3307B">
      <w:pPr>
        <w:jc w:val="both"/>
        <w:rPr>
          <w:rFonts w:ascii="Trebuchet MS" w:hAnsi="Trebuchet MS"/>
        </w:rPr>
      </w:pPr>
      <w:r w:rsidRPr="00E607E6">
        <w:rPr>
          <w:rFonts w:ascii="Trebuchet MS" w:hAnsi="Trebuchet MS"/>
        </w:rPr>
        <w:t>En voto</w:t>
      </w:r>
      <w:r>
        <w:rPr>
          <w:rFonts w:ascii="Trebuchet MS" w:hAnsi="Trebuchet MS"/>
        </w:rPr>
        <w:t>s</w:t>
      </w:r>
      <w:r w:rsidRPr="00E607E6">
        <w:rPr>
          <w:rFonts w:ascii="Trebuchet MS" w:hAnsi="Trebuchet MS"/>
        </w:rPr>
        <w:t xml:space="preserve"> disidente</w:t>
      </w:r>
      <w:r>
        <w:rPr>
          <w:rFonts w:ascii="Trebuchet MS" w:hAnsi="Trebuchet MS"/>
        </w:rPr>
        <w:t xml:space="preserve"> del 2018</w:t>
      </w:r>
      <w:r w:rsidRPr="00E607E6">
        <w:rPr>
          <w:rFonts w:ascii="Trebuchet MS" w:hAnsi="Trebuchet MS"/>
        </w:rPr>
        <w:t xml:space="preserve">, el </w:t>
      </w:r>
      <w:proofErr w:type="gramStart"/>
      <w:r w:rsidRPr="00E607E6">
        <w:rPr>
          <w:rFonts w:ascii="Trebuchet MS" w:hAnsi="Trebuchet MS"/>
        </w:rPr>
        <w:t>Ministro</w:t>
      </w:r>
      <w:proofErr w:type="gramEnd"/>
      <w:r w:rsidRPr="00E607E6">
        <w:rPr>
          <w:rFonts w:ascii="Trebuchet MS" w:hAnsi="Trebuchet MS"/>
        </w:rPr>
        <w:t xml:space="preserve"> Muñoz </w:t>
      </w:r>
      <w:r>
        <w:rPr>
          <w:rFonts w:ascii="Trebuchet MS" w:hAnsi="Trebuchet MS"/>
        </w:rPr>
        <w:t xml:space="preserve">precisó </w:t>
      </w:r>
      <w:r w:rsidRPr="00E607E6">
        <w:rPr>
          <w:rFonts w:ascii="Trebuchet MS" w:hAnsi="Trebuchet MS"/>
        </w:rPr>
        <w:t>que “(…) la jurisprudencia, sobre la base de la legislación especial, ha sustentado la responsabilidad de la Administración. Esta normativa especial arranca de los artículos 2°, 4°, 5°, 6°, 7°, 38 de la Constitución Política de la República, 4° y 42 de la Ley N</w:t>
      </w:r>
      <w:r>
        <w:rPr>
          <w:rFonts w:ascii="Trebuchet MS" w:hAnsi="Trebuchet MS"/>
        </w:rPr>
        <w:t xml:space="preserve"> </w:t>
      </w:r>
      <w:r w:rsidRPr="00E607E6">
        <w:rPr>
          <w:rFonts w:ascii="Trebuchet MS" w:hAnsi="Trebuchet MS"/>
        </w:rPr>
        <w:t>° 18.575. La norma del inciso segundo del artículo 21 de la Ley N</w:t>
      </w:r>
      <w:r>
        <w:rPr>
          <w:rFonts w:ascii="Trebuchet MS" w:hAnsi="Trebuchet MS"/>
        </w:rPr>
        <w:t xml:space="preserve"> </w:t>
      </w:r>
      <w:r w:rsidRPr="00E607E6">
        <w:rPr>
          <w:rFonts w:ascii="Trebuchet MS" w:hAnsi="Trebuchet MS"/>
        </w:rPr>
        <w:t>° 18.575 no afecta la disposición del artículo 4°, por lo que a su respecto debe atenderse a la concepción de la Administración del Estado que expresa el inciso segundo del artículo 1° del mencionado cuerpo de leyes</w:t>
      </w:r>
      <w:r>
        <w:rPr>
          <w:rFonts w:ascii="Trebuchet MS" w:hAnsi="Trebuchet MS"/>
        </w:rPr>
        <w:t>”</w:t>
      </w:r>
      <w:r w:rsidRPr="001E15F0">
        <w:rPr>
          <w:rStyle w:val="Refdenotaalpie"/>
          <w:rFonts w:ascii="Trebuchet MS" w:hAnsi="Trebuchet MS"/>
        </w:rPr>
        <w:t xml:space="preserve"> </w:t>
      </w:r>
      <w:r>
        <w:rPr>
          <w:rStyle w:val="Refdenotaalpie"/>
          <w:rFonts w:ascii="Trebuchet MS" w:hAnsi="Trebuchet MS"/>
        </w:rPr>
        <w:footnoteReference w:id="35"/>
      </w:r>
      <w:r>
        <w:rPr>
          <w:rFonts w:ascii="Trebuchet MS" w:hAnsi="Trebuchet MS"/>
        </w:rPr>
        <w:t xml:space="preserve">. </w:t>
      </w:r>
      <w:r w:rsidRPr="001E15F0">
        <w:rPr>
          <w:rFonts w:ascii="Trebuchet MS" w:hAnsi="Trebuchet MS"/>
        </w:rPr>
        <w:t>Norma que señala</w:t>
      </w:r>
      <w:r>
        <w:rPr>
          <w:rFonts w:ascii="Trebuchet MS" w:hAnsi="Trebuchet MS"/>
          <w:b/>
          <w:bCs/>
        </w:rPr>
        <w:t xml:space="preserve">: </w:t>
      </w:r>
      <w:r>
        <w:rPr>
          <w:rFonts w:ascii="Trebuchet MS" w:hAnsi="Trebuchet MS"/>
        </w:rPr>
        <w:t>“</w:t>
      </w:r>
      <w:r w:rsidRPr="005D64E7">
        <w:rPr>
          <w:rFonts w:ascii="Trebuchet MS" w:hAnsi="Trebuchet MS"/>
        </w:rPr>
        <w:t>La Administración del Estado estará constituida por los Ministerios, las Intendencias, las Gobernaciones y los órganos y servicios públicos creados para el cumplimiento de la función administrativa, incluidos la Contraloría General de la República, el Banco Central, las Fuerzas Armadas y las Fuerzas de Orden y Seguridad Pública, los Gobiernos Regionales, las Municipalidades y las empresas públicas creadas por ley</w:t>
      </w:r>
      <w:r>
        <w:rPr>
          <w:rFonts w:ascii="Trebuchet MS" w:hAnsi="Trebuchet MS"/>
        </w:rPr>
        <w:t>”.</w:t>
      </w:r>
    </w:p>
    <w:p w14:paraId="17BB25DC" w14:textId="77777777" w:rsidR="00C3307B" w:rsidRPr="001D2170" w:rsidRDefault="00C3307B" w:rsidP="00C3307B">
      <w:pPr>
        <w:jc w:val="both"/>
        <w:rPr>
          <w:rFonts w:ascii="Trebuchet MS" w:hAnsi="Trebuchet MS"/>
          <w:sz w:val="2"/>
          <w:szCs w:val="2"/>
        </w:rPr>
      </w:pPr>
    </w:p>
    <w:p w14:paraId="01A81B34" w14:textId="03793365" w:rsidR="00C3307B" w:rsidRDefault="00C3307B" w:rsidP="00C3307B">
      <w:pPr>
        <w:jc w:val="both"/>
        <w:rPr>
          <w:rFonts w:ascii="Trebuchet MS" w:hAnsi="Trebuchet MS"/>
        </w:rPr>
      </w:pPr>
      <w:r>
        <w:rPr>
          <w:rFonts w:ascii="Trebuchet MS" w:hAnsi="Trebuchet MS"/>
        </w:rPr>
        <w:t>La razón de ello es que “</w:t>
      </w:r>
      <w:r w:rsidRPr="00E607E6">
        <w:rPr>
          <w:rFonts w:ascii="Trebuchet MS" w:hAnsi="Trebuchet MS"/>
        </w:rPr>
        <w:t>las normas excluidas en consideración a lo establecido en el mencionado inciso segundo del artículo 21, se refieren exclusivamente a la organización, funcionamiento y carrera funcionaria (atendido los títulos de los párrafos y las materias de que tratan)</w:t>
      </w:r>
      <w:r w:rsidR="00617EB6">
        <w:rPr>
          <w:rFonts w:ascii="Trebuchet MS" w:hAnsi="Trebuchet MS"/>
        </w:rPr>
        <w:t>”.</w:t>
      </w:r>
      <w:r>
        <w:rPr>
          <w:rFonts w:ascii="Trebuchet MS" w:hAnsi="Trebuchet MS"/>
        </w:rPr>
        <w:t xml:space="preserve"> “</w:t>
      </w:r>
      <w:r w:rsidRPr="00E607E6">
        <w:rPr>
          <w:rFonts w:ascii="Trebuchet MS" w:hAnsi="Trebuchet MS"/>
        </w:rPr>
        <w:t xml:space="preserve">Lo anterior es trascendente, toda vez en la actualidad, al alero de la normativa especial que regula la materia, son innecesarios los esfuerzos jurisprudenciales para legitimar la responsabilidad del Estado por un actuar ilícito de sus agentes, invocando disposiciones de derecho privado. </w:t>
      </w:r>
      <w:r>
        <w:rPr>
          <w:rFonts w:ascii="Trebuchet MS" w:hAnsi="Trebuchet MS"/>
        </w:rPr>
        <w:t>L</w:t>
      </w:r>
      <w:r w:rsidRPr="00E607E6">
        <w:rPr>
          <w:rFonts w:ascii="Trebuchet MS" w:hAnsi="Trebuchet MS"/>
        </w:rPr>
        <w:t xml:space="preserve">a evolución del Derecho Público, en especial del Derecho Administrativo, permite sostener que existe un conjunto de principios que orientan la actuación de la autoridad, que son diferentes de los que se encuentran presentes en relaciones regidas por el Derecho Privado. Los distintos planos en que los particulares se vinculan entre sí, con aquéllos exigibles cuando lo hacen con la autoridad o cuando la relación es entre órganos del Estado, son una realidad que no es posible desconocer, no </w:t>
      </w:r>
      <w:r w:rsidR="00617EB6" w:rsidRPr="00E607E6">
        <w:rPr>
          <w:rFonts w:ascii="Trebuchet MS" w:hAnsi="Trebuchet MS"/>
        </w:rPr>
        <w:t>obstante,</w:t>
      </w:r>
      <w:r w:rsidRPr="00E607E6">
        <w:rPr>
          <w:rFonts w:ascii="Trebuchet MS" w:hAnsi="Trebuchet MS"/>
        </w:rPr>
        <w:t xml:space="preserve"> no exista ninguna norma que así lo disponga. Ahora bien, esta realidad distinta, como se dijo, determinó la regulación especial contenida en la Ley N</w:t>
      </w:r>
      <w:r>
        <w:rPr>
          <w:rFonts w:ascii="Trebuchet MS" w:hAnsi="Trebuchet MS"/>
        </w:rPr>
        <w:t xml:space="preserve"> </w:t>
      </w:r>
      <w:r w:rsidRPr="00E607E6">
        <w:rPr>
          <w:rFonts w:ascii="Trebuchet MS" w:hAnsi="Trebuchet MS"/>
        </w:rPr>
        <w:t>° 18.575, la que no hace más que materializar el principio de responsabilidad de los órganos del Estado consagrada en los artículos 6, 7 y 38 de la Carta Fundamental”.</w:t>
      </w:r>
      <w:r>
        <w:rPr>
          <w:rStyle w:val="Refdenotaalpie"/>
          <w:rFonts w:ascii="Trebuchet MS" w:hAnsi="Trebuchet MS"/>
        </w:rPr>
        <w:footnoteReference w:id="36"/>
      </w:r>
      <w:r w:rsidRPr="00E607E6">
        <w:rPr>
          <w:rFonts w:ascii="Trebuchet MS" w:hAnsi="Trebuchet MS"/>
        </w:rPr>
        <w:t xml:space="preserve">. </w:t>
      </w:r>
    </w:p>
    <w:p w14:paraId="292848CC" w14:textId="77777777" w:rsidR="00C3307B" w:rsidRPr="00C7362C" w:rsidRDefault="00C3307B" w:rsidP="00C3307B">
      <w:pPr>
        <w:jc w:val="both"/>
        <w:rPr>
          <w:rFonts w:ascii="Trebuchet MS" w:hAnsi="Trebuchet MS"/>
          <w:sz w:val="4"/>
          <w:szCs w:val="4"/>
        </w:rPr>
      </w:pPr>
    </w:p>
    <w:p w14:paraId="097D88B7" w14:textId="338D33AC" w:rsidR="00C3307B" w:rsidRDefault="00C3307B" w:rsidP="00C3307B">
      <w:pPr>
        <w:shd w:val="clear" w:color="auto" w:fill="FFFFFF"/>
        <w:spacing w:after="0" w:line="240" w:lineRule="auto"/>
        <w:jc w:val="both"/>
        <w:rPr>
          <w:rFonts w:ascii="Trebuchet MS" w:hAnsi="Trebuchet MS"/>
        </w:rPr>
      </w:pPr>
      <w:r>
        <w:rPr>
          <w:rFonts w:ascii="Trebuchet MS" w:hAnsi="Trebuchet MS"/>
        </w:rPr>
        <w:t xml:space="preserve">Esta última postura que establece que </w:t>
      </w:r>
      <w:r w:rsidRPr="002919CF">
        <w:rPr>
          <w:rFonts w:ascii="Trebuchet MS" w:hAnsi="Trebuchet MS"/>
          <w:u w:val="single"/>
        </w:rPr>
        <w:t xml:space="preserve">todos </w:t>
      </w:r>
      <w:r>
        <w:rPr>
          <w:rFonts w:ascii="Trebuchet MS" w:hAnsi="Trebuchet MS"/>
        </w:rPr>
        <w:t xml:space="preserve">los órganos </w:t>
      </w:r>
      <w:r w:rsidR="00617EB6">
        <w:rPr>
          <w:rFonts w:ascii="Trebuchet MS" w:hAnsi="Trebuchet MS"/>
        </w:rPr>
        <w:t>de la administración</w:t>
      </w:r>
      <w:r>
        <w:rPr>
          <w:rFonts w:ascii="Trebuchet MS" w:hAnsi="Trebuchet MS"/>
        </w:rPr>
        <w:t xml:space="preserve"> del Estado son responsables por los daños que causen por falta de servicio, y </w:t>
      </w:r>
      <w:r w:rsidR="00617EB6">
        <w:rPr>
          <w:rFonts w:ascii="Trebuchet MS" w:hAnsi="Trebuchet MS"/>
        </w:rPr>
        <w:t>que ello</w:t>
      </w:r>
      <w:r>
        <w:rPr>
          <w:rFonts w:ascii="Trebuchet MS" w:hAnsi="Trebuchet MS"/>
        </w:rPr>
        <w:t xml:space="preserve"> deviene de las normas de derecho público, no siendo necesario ni procedente recurrir a </w:t>
      </w:r>
      <w:r w:rsidR="00617EB6">
        <w:rPr>
          <w:rFonts w:ascii="Trebuchet MS" w:hAnsi="Trebuchet MS"/>
        </w:rPr>
        <w:t>las normas</w:t>
      </w:r>
      <w:r>
        <w:rPr>
          <w:rFonts w:ascii="Trebuchet MS" w:hAnsi="Trebuchet MS"/>
        </w:rPr>
        <w:t xml:space="preserve"> del derecho privado, es jurisprudencia asentada en la Corte Suprema.</w:t>
      </w:r>
    </w:p>
    <w:p w14:paraId="2FF281DA" w14:textId="77777777" w:rsidR="00C3307B" w:rsidRDefault="00C3307B" w:rsidP="00C3307B">
      <w:pPr>
        <w:shd w:val="clear" w:color="auto" w:fill="FFFFFF"/>
        <w:spacing w:after="0" w:line="240" w:lineRule="auto"/>
        <w:jc w:val="both"/>
        <w:rPr>
          <w:rFonts w:ascii="Trebuchet MS" w:hAnsi="Trebuchet MS"/>
        </w:rPr>
      </w:pPr>
    </w:p>
    <w:p w14:paraId="056C4E38" w14:textId="77777777" w:rsidR="00C3307B" w:rsidRDefault="00C3307B" w:rsidP="00C3307B">
      <w:pPr>
        <w:spacing w:after="0" w:line="240" w:lineRule="auto"/>
        <w:jc w:val="both"/>
        <w:rPr>
          <w:rFonts w:ascii="Times New Roman" w:hAnsi="Times New Roman" w:cs="Times New Roman"/>
          <w:sz w:val="24"/>
          <w:szCs w:val="24"/>
          <w:lang w:eastAsia="es-CL"/>
        </w:rPr>
      </w:pPr>
      <w:r>
        <w:rPr>
          <w:rFonts w:ascii="Trebuchet MS" w:hAnsi="Trebuchet MS"/>
        </w:rPr>
        <w:t>Así, en el fallo</w:t>
      </w:r>
      <w:r w:rsidRPr="00321191">
        <w:t xml:space="preserve"> </w:t>
      </w:r>
      <w:r w:rsidRPr="00321191">
        <w:rPr>
          <w:rFonts w:ascii="Trebuchet MS" w:hAnsi="Trebuchet MS"/>
        </w:rPr>
        <w:t>Luchsinger</w:t>
      </w:r>
      <w:r>
        <w:rPr>
          <w:rFonts w:ascii="Trebuchet MS" w:hAnsi="Trebuchet MS"/>
        </w:rPr>
        <w:t>, la Corte señala que “</w:t>
      </w:r>
      <w:r w:rsidRPr="00586360">
        <w:rPr>
          <w:rFonts w:ascii="Trebuchet MS" w:hAnsi="Trebuchet MS"/>
        </w:rPr>
        <w:t>es necesario reiterar que la</w:t>
      </w:r>
      <w:r>
        <w:rPr>
          <w:rFonts w:ascii="Trebuchet MS" w:hAnsi="Trebuchet MS"/>
        </w:rPr>
        <w:t xml:space="preserve"> </w:t>
      </w:r>
      <w:r w:rsidRPr="00586360">
        <w:rPr>
          <w:rFonts w:ascii="Trebuchet MS" w:hAnsi="Trebuchet MS"/>
        </w:rPr>
        <w:t>responsabilidad del Estado Administrador, a partir una</w:t>
      </w:r>
      <w:r>
        <w:rPr>
          <w:rFonts w:ascii="Trebuchet MS" w:hAnsi="Trebuchet MS"/>
        </w:rPr>
        <w:t xml:space="preserve"> </w:t>
      </w:r>
      <w:r w:rsidRPr="00586360">
        <w:rPr>
          <w:rFonts w:ascii="Trebuchet MS" w:hAnsi="Trebuchet MS"/>
        </w:rPr>
        <w:t>interpretación armónica de lo dispuesto en los artículos</w:t>
      </w:r>
      <w:r>
        <w:rPr>
          <w:rFonts w:ascii="Trebuchet MS" w:hAnsi="Trebuchet MS"/>
        </w:rPr>
        <w:t xml:space="preserve"> </w:t>
      </w:r>
      <w:r w:rsidRPr="00586360">
        <w:rPr>
          <w:rFonts w:ascii="Trebuchet MS" w:hAnsi="Trebuchet MS"/>
        </w:rPr>
        <w:t>2°, 4°, 5°, 6°, 7° y 38 de la Constitución Política de la</w:t>
      </w:r>
      <w:r>
        <w:rPr>
          <w:rFonts w:ascii="Trebuchet MS" w:hAnsi="Trebuchet MS"/>
        </w:rPr>
        <w:t xml:space="preserve"> </w:t>
      </w:r>
      <w:r w:rsidRPr="00586360">
        <w:rPr>
          <w:rFonts w:ascii="Trebuchet MS" w:hAnsi="Trebuchet MS"/>
        </w:rPr>
        <w:t>República en relación a los artículos 4° y 42 del D.F.L</w:t>
      </w:r>
      <w:r>
        <w:rPr>
          <w:rFonts w:ascii="Trebuchet MS" w:hAnsi="Trebuchet MS"/>
        </w:rPr>
        <w:t xml:space="preserve"> </w:t>
      </w:r>
      <w:r w:rsidRPr="00586360">
        <w:rPr>
          <w:rFonts w:ascii="Trebuchet MS" w:hAnsi="Trebuchet MS"/>
        </w:rPr>
        <w:t>N</w:t>
      </w:r>
      <w:r>
        <w:rPr>
          <w:rFonts w:ascii="Trebuchet MS" w:hAnsi="Trebuchet MS"/>
        </w:rPr>
        <w:t xml:space="preserve"> </w:t>
      </w:r>
      <w:r w:rsidRPr="00586360">
        <w:rPr>
          <w:rFonts w:ascii="Trebuchet MS" w:hAnsi="Trebuchet MS"/>
        </w:rPr>
        <w:t>° 1 que fija el texto refundido, coordinado y</w:t>
      </w:r>
      <w:r>
        <w:rPr>
          <w:rFonts w:ascii="Trebuchet MS" w:hAnsi="Trebuchet MS"/>
        </w:rPr>
        <w:t xml:space="preserve"> </w:t>
      </w:r>
      <w:r w:rsidRPr="00586360">
        <w:rPr>
          <w:rFonts w:ascii="Trebuchet MS" w:hAnsi="Trebuchet MS"/>
        </w:rPr>
        <w:t>sistematizado de la Ley N</w:t>
      </w:r>
      <w:r>
        <w:rPr>
          <w:rFonts w:ascii="Trebuchet MS" w:hAnsi="Trebuchet MS"/>
        </w:rPr>
        <w:t xml:space="preserve"> </w:t>
      </w:r>
      <w:r w:rsidRPr="00586360">
        <w:rPr>
          <w:rFonts w:ascii="Trebuchet MS" w:hAnsi="Trebuchet MS"/>
        </w:rPr>
        <w:t>º 18.575, Orgánica</w:t>
      </w:r>
      <w:r>
        <w:rPr>
          <w:rFonts w:ascii="Trebuchet MS" w:hAnsi="Trebuchet MS"/>
        </w:rPr>
        <w:t xml:space="preserve"> </w:t>
      </w:r>
      <w:r w:rsidRPr="00586360">
        <w:rPr>
          <w:rFonts w:ascii="Trebuchet MS" w:hAnsi="Trebuchet MS"/>
        </w:rPr>
        <w:t>Constitucional de Bases Generales de la Administración</w:t>
      </w:r>
      <w:r>
        <w:rPr>
          <w:rFonts w:ascii="Trebuchet MS" w:hAnsi="Trebuchet MS"/>
        </w:rPr>
        <w:t xml:space="preserve"> </w:t>
      </w:r>
      <w:r w:rsidRPr="00586360">
        <w:rPr>
          <w:rFonts w:ascii="Trebuchet MS" w:hAnsi="Trebuchet MS"/>
        </w:rPr>
        <w:t>del Estado (en adelante Ley N</w:t>
      </w:r>
      <w:r>
        <w:rPr>
          <w:rFonts w:ascii="Trebuchet MS" w:hAnsi="Trebuchet MS"/>
        </w:rPr>
        <w:t xml:space="preserve"> </w:t>
      </w:r>
      <w:r w:rsidRPr="00586360">
        <w:rPr>
          <w:rFonts w:ascii="Trebuchet MS" w:hAnsi="Trebuchet MS"/>
        </w:rPr>
        <w:t>° 18.575 actualizada), ha</w:t>
      </w:r>
      <w:r>
        <w:rPr>
          <w:rFonts w:ascii="Trebuchet MS" w:hAnsi="Trebuchet MS"/>
        </w:rPr>
        <w:t xml:space="preserve"> </w:t>
      </w:r>
      <w:r w:rsidRPr="00586360">
        <w:rPr>
          <w:rFonts w:ascii="Trebuchet MS" w:hAnsi="Trebuchet MS"/>
        </w:rPr>
        <w:t>evolucionado hasta llegar a un estado pacífico, en cuanto</w:t>
      </w:r>
      <w:r>
        <w:rPr>
          <w:rFonts w:ascii="Trebuchet MS" w:hAnsi="Trebuchet MS"/>
        </w:rPr>
        <w:t xml:space="preserve"> </w:t>
      </w:r>
      <w:r w:rsidRPr="00586360">
        <w:rPr>
          <w:rFonts w:ascii="Trebuchet MS" w:hAnsi="Trebuchet MS"/>
        </w:rPr>
        <w:t>a sostener que dicho instituto se funda exclusivamente</w:t>
      </w:r>
      <w:r>
        <w:rPr>
          <w:rFonts w:ascii="Trebuchet MS" w:hAnsi="Trebuchet MS"/>
        </w:rPr>
        <w:t xml:space="preserve"> </w:t>
      </w:r>
      <w:r w:rsidRPr="00586360">
        <w:rPr>
          <w:rFonts w:ascii="Trebuchet MS" w:hAnsi="Trebuchet MS"/>
        </w:rPr>
        <w:t>en las referidas normas y tiene como factor de imputación</w:t>
      </w:r>
      <w:r>
        <w:rPr>
          <w:rFonts w:ascii="Trebuchet MS" w:hAnsi="Trebuchet MS"/>
        </w:rPr>
        <w:t xml:space="preserve"> </w:t>
      </w:r>
      <w:r w:rsidRPr="00586360">
        <w:rPr>
          <w:rFonts w:ascii="Trebuchet MS" w:hAnsi="Trebuchet MS"/>
        </w:rPr>
        <w:t>la falta de servicio</w:t>
      </w:r>
      <w:r>
        <w:rPr>
          <w:rFonts w:ascii="Trebuchet MS" w:hAnsi="Trebuchet MS"/>
        </w:rPr>
        <w:t xml:space="preserve"> </w:t>
      </w:r>
      <w:r w:rsidRPr="00586360">
        <w:rPr>
          <w:rFonts w:ascii="Trebuchet MS" w:hAnsi="Trebuchet MS"/>
        </w:rPr>
        <w:t>que se presenta como una</w:t>
      </w:r>
      <w:r>
        <w:rPr>
          <w:rFonts w:ascii="Trebuchet MS" w:hAnsi="Trebuchet MS"/>
        </w:rPr>
        <w:t xml:space="preserve"> </w:t>
      </w:r>
      <w:r w:rsidRPr="00586360">
        <w:rPr>
          <w:rFonts w:ascii="Trebuchet MS" w:hAnsi="Trebuchet MS"/>
        </w:rPr>
        <w:t>deficiencia o mal funcionamiento del servicio en relación</w:t>
      </w:r>
      <w:r>
        <w:rPr>
          <w:rFonts w:ascii="Trebuchet MS" w:hAnsi="Trebuchet MS"/>
        </w:rPr>
        <w:t xml:space="preserve"> </w:t>
      </w:r>
      <w:r w:rsidRPr="00586360">
        <w:rPr>
          <w:rFonts w:ascii="Trebuchet MS" w:hAnsi="Trebuchet MS"/>
        </w:rPr>
        <w:t>a la conducta normal que se espera de él, estimándose que</w:t>
      </w:r>
      <w:r>
        <w:rPr>
          <w:rFonts w:ascii="Trebuchet MS" w:hAnsi="Trebuchet MS"/>
        </w:rPr>
        <w:t xml:space="preserve"> </w:t>
      </w:r>
      <w:r w:rsidRPr="00586360">
        <w:rPr>
          <w:rFonts w:ascii="Trebuchet MS" w:hAnsi="Trebuchet MS"/>
        </w:rPr>
        <w:t>ello concurre cuando el servicio no funciona debiendo</w:t>
      </w:r>
      <w:r>
        <w:rPr>
          <w:rFonts w:ascii="Trebuchet MS" w:hAnsi="Trebuchet MS"/>
        </w:rPr>
        <w:t xml:space="preserve"> </w:t>
      </w:r>
      <w:r w:rsidRPr="00586360">
        <w:rPr>
          <w:rFonts w:ascii="Trebuchet MS" w:hAnsi="Trebuchet MS"/>
        </w:rPr>
        <w:t>hacerlo, lo hace en forma irregular y/o lo hace</w:t>
      </w:r>
      <w:r>
        <w:rPr>
          <w:rFonts w:ascii="Trebuchet MS" w:hAnsi="Trebuchet MS"/>
        </w:rPr>
        <w:t xml:space="preserve"> </w:t>
      </w:r>
      <w:r w:rsidRPr="00586360">
        <w:rPr>
          <w:rFonts w:ascii="Trebuchet MS" w:hAnsi="Trebuchet MS"/>
        </w:rPr>
        <w:t>tardíamente, operando así como un factor de imputación que</w:t>
      </w:r>
      <w:r>
        <w:rPr>
          <w:rFonts w:ascii="Trebuchet MS" w:hAnsi="Trebuchet MS"/>
        </w:rPr>
        <w:t xml:space="preserve"> </w:t>
      </w:r>
      <w:r w:rsidRPr="00586360">
        <w:rPr>
          <w:rFonts w:ascii="Trebuchet MS" w:hAnsi="Trebuchet MS"/>
        </w:rPr>
        <w:t>genera la consecuente responsabilidad indemnizatoria</w:t>
      </w:r>
      <w:r>
        <w:rPr>
          <w:rFonts w:ascii="Trebuchet MS" w:hAnsi="Trebuchet MS"/>
        </w:rPr>
        <w:t>”</w:t>
      </w:r>
      <w:r>
        <w:rPr>
          <w:rStyle w:val="Refdenotaalpie"/>
          <w:rFonts w:ascii="Trebuchet MS" w:hAnsi="Trebuchet MS"/>
        </w:rPr>
        <w:footnoteReference w:id="37"/>
      </w:r>
      <w:r>
        <w:rPr>
          <w:rFonts w:ascii="Trebuchet MS" w:hAnsi="Trebuchet MS"/>
        </w:rPr>
        <w:t>.</w:t>
      </w:r>
      <w:r>
        <w:rPr>
          <w:rFonts w:ascii="Times New Roman" w:hAnsi="Times New Roman" w:cs="Times New Roman"/>
          <w:sz w:val="24"/>
          <w:szCs w:val="24"/>
          <w:lang w:eastAsia="es-CL"/>
        </w:rPr>
        <w:t xml:space="preserve"> </w:t>
      </w:r>
    </w:p>
    <w:p w14:paraId="27017726" w14:textId="77777777" w:rsidR="00C3307B" w:rsidRPr="00586360" w:rsidRDefault="00C3307B" w:rsidP="00C3307B">
      <w:pPr>
        <w:spacing w:after="0" w:line="240" w:lineRule="auto"/>
        <w:jc w:val="both"/>
        <w:rPr>
          <w:rFonts w:ascii="Times New Roman" w:hAnsi="Times New Roman" w:cs="Times New Roman"/>
          <w:sz w:val="24"/>
          <w:szCs w:val="24"/>
          <w:lang w:eastAsia="es-CL"/>
        </w:rPr>
      </w:pPr>
    </w:p>
    <w:p w14:paraId="7E44C2DB" w14:textId="77777777" w:rsidR="00C3307B" w:rsidRDefault="00C3307B" w:rsidP="00C3307B">
      <w:pPr>
        <w:shd w:val="clear" w:color="auto" w:fill="FFFFFF"/>
        <w:spacing w:after="0" w:line="240" w:lineRule="auto"/>
        <w:jc w:val="both"/>
      </w:pPr>
      <w:r>
        <w:rPr>
          <w:rFonts w:ascii="Trebuchet MS" w:hAnsi="Trebuchet MS"/>
        </w:rPr>
        <w:t>Agrega luego, que “e</w:t>
      </w:r>
      <w:r w:rsidRPr="00586360">
        <w:rPr>
          <w:rFonts w:ascii="Trebuchet MS" w:hAnsi="Trebuchet MS"/>
        </w:rPr>
        <w:t>s importante precisar que la norma del inciso segundo</w:t>
      </w:r>
      <w:r>
        <w:rPr>
          <w:rFonts w:ascii="Trebuchet MS" w:hAnsi="Trebuchet MS"/>
        </w:rPr>
        <w:t xml:space="preserve"> </w:t>
      </w:r>
      <w:r w:rsidRPr="00586360">
        <w:rPr>
          <w:rFonts w:ascii="Trebuchet MS" w:hAnsi="Trebuchet MS"/>
        </w:rPr>
        <w:t>del artículo 21 de la Ley N</w:t>
      </w:r>
      <w:r>
        <w:rPr>
          <w:rFonts w:ascii="Trebuchet MS" w:hAnsi="Trebuchet MS"/>
        </w:rPr>
        <w:t xml:space="preserve"> </w:t>
      </w:r>
      <w:r w:rsidRPr="00586360">
        <w:rPr>
          <w:rFonts w:ascii="Trebuchet MS" w:hAnsi="Trebuchet MS"/>
        </w:rPr>
        <w:t>° 18.575 actualizada no</w:t>
      </w:r>
      <w:r>
        <w:rPr>
          <w:rFonts w:ascii="Trebuchet MS" w:hAnsi="Trebuchet MS"/>
        </w:rPr>
        <w:t xml:space="preserve"> </w:t>
      </w:r>
      <w:r w:rsidRPr="00586360">
        <w:rPr>
          <w:rFonts w:ascii="Trebuchet MS" w:hAnsi="Trebuchet MS"/>
        </w:rPr>
        <w:t>excluye la aplicación del concepto de falta de servicio y</w:t>
      </w:r>
      <w:r>
        <w:rPr>
          <w:rFonts w:ascii="Trebuchet MS" w:hAnsi="Trebuchet MS"/>
        </w:rPr>
        <w:t xml:space="preserve"> </w:t>
      </w:r>
      <w:r w:rsidRPr="00586360">
        <w:rPr>
          <w:rFonts w:ascii="Trebuchet MS" w:hAnsi="Trebuchet MS"/>
        </w:rPr>
        <w:t>el consecuente régimen de responsabilidad de Derecho</w:t>
      </w:r>
      <w:r>
        <w:rPr>
          <w:rFonts w:ascii="Trebuchet MS" w:hAnsi="Trebuchet MS"/>
        </w:rPr>
        <w:t xml:space="preserve"> </w:t>
      </w:r>
      <w:r w:rsidRPr="00586360">
        <w:rPr>
          <w:rFonts w:ascii="Trebuchet MS" w:hAnsi="Trebuchet MS"/>
        </w:rPr>
        <w:t>Público a las Fuerzas Armadas, toda vez que tal norma no</w:t>
      </w:r>
      <w:r>
        <w:rPr>
          <w:rFonts w:ascii="Trebuchet MS" w:hAnsi="Trebuchet MS"/>
        </w:rPr>
        <w:t xml:space="preserve"> </w:t>
      </w:r>
      <w:r w:rsidRPr="00586360">
        <w:rPr>
          <w:rFonts w:ascii="Trebuchet MS" w:hAnsi="Trebuchet MS"/>
        </w:rPr>
        <w:t>afecta la disposición del artículo 4°, piedra angular de</w:t>
      </w:r>
      <w:r>
        <w:rPr>
          <w:rFonts w:ascii="Trebuchet MS" w:hAnsi="Trebuchet MS"/>
        </w:rPr>
        <w:t xml:space="preserve"> </w:t>
      </w:r>
      <w:r w:rsidRPr="00586360">
        <w:rPr>
          <w:rFonts w:ascii="Trebuchet MS" w:hAnsi="Trebuchet MS"/>
        </w:rPr>
        <w:t>la responsabilidad de los órganos del Estado, por lo que a</w:t>
      </w:r>
      <w:r>
        <w:rPr>
          <w:rFonts w:ascii="Trebuchet MS" w:hAnsi="Trebuchet MS"/>
        </w:rPr>
        <w:t xml:space="preserve"> </w:t>
      </w:r>
      <w:r w:rsidRPr="00586360">
        <w:rPr>
          <w:rFonts w:ascii="Trebuchet MS" w:hAnsi="Trebuchet MS"/>
        </w:rPr>
        <w:t>su respecto debe atenderse a la concepción de la</w:t>
      </w:r>
      <w:r>
        <w:rPr>
          <w:rFonts w:ascii="Trebuchet MS" w:hAnsi="Trebuchet MS"/>
        </w:rPr>
        <w:t xml:space="preserve"> </w:t>
      </w:r>
      <w:r w:rsidRPr="00586360">
        <w:rPr>
          <w:rFonts w:ascii="Trebuchet MS" w:hAnsi="Trebuchet MS"/>
        </w:rPr>
        <w:t>Administración que expresa el inciso segundo del artículo</w:t>
      </w:r>
      <w:r>
        <w:rPr>
          <w:rFonts w:ascii="Trebuchet MS" w:hAnsi="Trebuchet MS"/>
        </w:rPr>
        <w:t xml:space="preserve"> </w:t>
      </w:r>
      <w:r w:rsidRPr="00586360">
        <w:rPr>
          <w:rFonts w:ascii="Trebuchet MS" w:hAnsi="Trebuchet MS"/>
        </w:rPr>
        <w:t>1° del mencionado cuerpo de leyes, de forma tal que, sin</w:t>
      </w:r>
      <w:r>
        <w:rPr>
          <w:rFonts w:ascii="Trebuchet MS" w:hAnsi="Trebuchet MS"/>
        </w:rPr>
        <w:t xml:space="preserve"> </w:t>
      </w:r>
      <w:r w:rsidRPr="00586360">
        <w:rPr>
          <w:rFonts w:ascii="Trebuchet MS" w:hAnsi="Trebuchet MS"/>
        </w:rPr>
        <w:t>duda alguna, este régimen de responsabilidad se aplica a</w:t>
      </w:r>
      <w:r>
        <w:rPr>
          <w:rFonts w:ascii="Trebuchet MS" w:hAnsi="Trebuchet MS"/>
        </w:rPr>
        <w:t xml:space="preserve"> </w:t>
      </w:r>
      <w:r w:rsidRPr="00586360">
        <w:rPr>
          <w:rFonts w:ascii="Trebuchet MS" w:hAnsi="Trebuchet MS"/>
        </w:rPr>
        <w:t>las Fuerzas Armadas, como a las de Orden y Seguridad</w:t>
      </w:r>
      <w:r>
        <w:rPr>
          <w:rFonts w:ascii="Trebuchet MS" w:hAnsi="Trebuchet MS"/>
        </w:rPr>
        <w:t xml:space="preserve"> </w:t>
      </w:r>
      <w:r w:rsidRPr="00586360">
        <w:rPr>
          <w:rFonts w:ascii="Trebuchet MS" w:hAnsi="Trebuchet MS"/>
        </w:rPr>
        <w:t>Pública.</w:t>
      </w:r>
      <w:r>
        <w:rPr>
          <w:rFonts w:ascii="Trebuchet MS" w:hAnsi="Trebuchet MS"/>
        </w:rPr>
        <w:t>”</w:t>
      </w:r>
      <w:r>
        <w:rPr>
          <w:rStyle w:val="Refdenotaalpie"/>
          <w:rFonts w:ascii="Trebuchet MS" w:hAnsi="Trebuchet MS"/>
        </w:rPr>
        <w:footnoteReference w:id="38"/>
      </w:r>
      <w:r w:rsidRPr="00CE4622">
        <w:t xml:space="preserve"> </w:t>
      </w:r>
    </w:p>
    <w:p w14:paraId="2EF45025" w14:textId="77777777" w:rsidR="00C3307B" w:rsidRPr="001734AA" w:rsidRDefault="00C3307B" w:rsidP="00C3307B">
      <w:pPr>
        <w:shd w:val="clear" w:color="auto" w:fill="FFFFFF"/>
        <w:spacing w:after="0" w:line="240" w:lineRule="auto"/>
        <w:jc w:val="both"/>
        <w:rPr>
          <w:rFonts w:ascii="Trebuchet MS" w:hAnsi="Trebuchet MS"/>
          <w:sz w:val="28"/>
          <w:szCs w:val="28"/>
        </w:rPr>
      </w:pPr>
    </w:p>
    <w:p w14:paraId="6DB371FB" w14:textId="77777777" w:rsidR="00C3307B" w:rsidRDefault="00C3307B" w:rsidP="00C3307B">
      <w:pPr>
        <w:shd w:val="clear" w:color="auto" w:fill="FFFFFF"/>
        <w:spacing w:after="0" w:line="240" w:lineRule="auto"/>
        <w:jc w:val="both"/>
        <w:rPr>
          <w:highlight w:val="yellow"/>
        </w:rPr>
      </w:pPr>
      <w:r>
        <w:rPr>
          <w:rFonts w:ascii="Trebuchet MS" w:hAnsi="Trebuchet MS"/>
        </w:rPr>
        <w:t>Enfatiza</w:t>
      </w:r>
      <w:r>
        <w:t xml:space="preserve"> “</w:t>
      </w:r>
      <w:r w:rsidRPr="00CE4622">
        <w:rPr>
          <w:rFonts w:ascii="Trebuchet MS" w:hAnsi="Trebuchet MS"/>
        </w:rPr>
        <w:t>que las</w:t>
      </w:r>
      <w:r>
        <w:rPr>
          <w:rFonts w:ascii="Trebuchet MS" w:hAnsi="Trebuchet MS"/>
        </w:rPr>
        <w:t xml:space="preserve"> </w:t>
      </w:r>
      <w:r w:rsidRPr="00CE4622">
        <w:rPr>
          <w:rFonts w:ascii="Trebuchet MS" w:hAnsi="Trebuchet MS"/>
        </w:rPr>
        <w:t>normas excluidas en consideración a lo establecido en el</w:t>
      </w:r>
      <w:r>
        <w:rPr>
          <w:rFonts w:ascii="Trebuchet MS" w:hAnsi="Trebuchet MS"/>
        </w:rPr>
        <w:t xml:space="preserve"> </w:t>
      </w:r>
      <w:r w:rsidRPr="00CE4622">
        <w:rPr>
          <w:rFonts w:ascii="Trebuchet MS" w:hAnsi="Trebuchet MS"/>
        </w:rPr>
        <w:t>mencionado inciso segundo del artículo 21, se refieren</w:t>
      </w:r>
      <w:r>
        <w:rPr>
          <w:rFonts w:ascii="Trebuchet MS" w:hAnsi="Trebuchet MS"/>
        </w:rPr>
        <w:t xml:space="preserve"> </w:t>
      </w:r>
      <w:r w:rsidRPr="00CE4622">
        <w:rPr>
          <w:rFonts w:ascii="Trebuchet MS" w:hAnsi="Trebuchet MS"/>
        </w:rPr>
        <w:t>exclusivamente a la organización, funcionamiento y carrera</w:t>
      </w:r>
      <w:r>
        <w:rPr>
          <w:rFonts w:ascii="Trebuchet MS" w:hAnsi="Trebuchet MS"/>
        </w:rPr>
        <w:t xml:space="preserve"> </w:t>
      </w:r>
      <w:r w:rsidRPr="00CE4622">
        <w:rPr>
          <w:rFonts w:ascii="Trebuchet MS" w:hAnsi="Trebuchet MS"/>
        </w:rPr>
        <w:t>funcionaria (atendido los títulos de los párrafos y las</w:t>
      </w:r>
      <w:r>
        <w:rPr>
          <w:rFonts w:ascii="Trebuchet MS" w:hAnsi="Trebuchet MS"/>
        </w:rPr>
        <w:t xml:space="preserve"> </w:t>
      </w:r>
      <w:r w:rsidRPr="00CE4622">
        <w:rPr>
          <w:rFonts w:ascii="Trebuchet MS" w:hAnsi="Trebuchet MS"/>
        </w:rPr>
        <w:t>materias de que tratan), sin afectar el régimen de</w:t>
      </w:r>
      <w:r>
        <w:rPr>
          <w:rFonts w:ascii="Trebuchet MS" w:hAnsi="Trebuchet MS"/>
        </w:rPr>
        <w:t xml:space="preserve"> </w:t>
      </w:r>
      <w:r w:rsidRPr="00CE4622">
        <w:rPr>
          <w:rFonts w:ascii="Trebuchet MS" w:hAnsi="Trebuchet MS"/>
        </w:rPr>
        <w:t>responsabilidad de aquellas instituciones</w:t>
      </w:r>
      <w:r>
        <w:rPr>
          <w:rFonts w:ascii="Trebuchet MS" w:hAnsi="Trebuchet MS"/>
        </w:rPr>
        <w:t>.”</w:t>
      </w:r>
      <w:r>
        <w:rPr>
          <w:rStyle w:val="Refdenotaalpie"/>
          <w:rFonts w:ascii="Trebuchet MS" w:hAnsi="Trebuchet MS"/>
        </w:rPr>
        <w:footnoteReference w:id="39"/>
      </w:r>
      <w:r>
        <w:rPr>
          <w:rFonts w:ascii="Trebuchet MS" w:hAnsi="Trebuchet MS"/>
        </w:rPr>
        <w:t xml:space="preserve"> Por lo mismo agrega que “s</w:t>
      </w:r>
      <w:r w:rsidRPr="00D8415F">
        <w:rPr>
          <w:rFonts w:ascii="Trebuchet MS" w:hAnsi="Trebuchet MS"/>
        </w:rPr>
        <w:t>in lugar a duda, la Administración del Estado</w:t>
      </w:r>
      <w:r>
        <w:rPr>
          <w:rFonts w:ascii="Trebuchet MS" w:hAnsi="Trebuchet MS"/>
        </w:rPr>
        <w:t xml:space="preserve"> </w:t>
      </w:r>
      <w:r w:rsidRPr="00D8415F">
        <w:rPr>
          <w:rFonts w:ascii="Trebuchet MS" w:hAnsi="Trebuchet MS"/>
        </w:rPr>
        <w:t>comprende a las Fuerzas de Orden y Seguridad Pública,</w:t>
      </w:r>
      <w:r>
        <w:rPr>
          <w:rFonts w:ascii="Trebuchet MS" w:hAnsi="Trebuchet MS"/>
        </w:rPr>
        <w:t xml:space="preserve"> </w:t>
      </w:r>
      <w:r w:rsidRPr="00D8415F">
        <w:rPr>
          <w:rFonts w:ascii="Trebuchet MS" w:hAnsi="Trebuchet MS"/>
        </w:rPr>
        <w:t>razón por la que su responsabilidad tiene origen</w:t>
      </w:r>
      <w:r>
        <w:rPr>
          <w:rFonts w:ascii="Trebuchet MS" w:hAnsi="Trebuchet MS"/>
        </w:rPr>
        <w:t xml:space="preserve"> </w:t>
      </w:r>
      <w:r w:rsidRPr="00D8415F">
        <w:rPr>
          <w:rFonts w:ascii="Trebuchet MS" w:hAnsi="Trebuchet MS"/>
        </w:rPr>
        <w:t>indiscutible en las normas de Derecho Público.</w:t>
      </w:r>
      <w:r>
        <w:rPr>
          <w:rFonts w:ascii="Trebuchet MS" w:hAnsi="Trebuchet MS"/>
        </w:rPr>
        <w:t xml:space="preserve"> </w:t>
      </w:r>
      <w:r w:rsidRPr="00D8415F">
        <w:rPr>
          <w:rFonts w:ascii="Trebuchet MS" w:hAnsi="Trebuchet MS"/>
        </w:rPr>
        <w:t>Ahora bien, esta realidad distinta, como se dijo,</w:t>
      </w:r>
      <w:r>
        <w:rPr>
          <w:rFonts w:ascii="Trebuchet MS" w:hAnsi="Trebuchet MS"/>
        </w:rPr>
        <w:t xml:space="preserve"> </w:t>
      </w:r>
      <w:r w:rsidRPr="00D8415F">
        <w:rPr>
          <w:rFonts w:ascii="Trebuchet MS" w:hAnsi="Trebuchet MS"/>
        </w:rPr>
        <w:t>determinó la regulación especial contenida en la Ley N°18.575, la que no hace más que materializar el principio</w:t>
      </w:r>
      <w:r>
        <w:rPr>
          <w:rFonts w:ascii="Trebuchet MS" w:hAnsi="Trebuchet MS"/>
        </w:rPr>
        <w:t xml:space="preserve"> </w:t>
      </w:r>
      <w:r w:rsidRPr="00D8415F">
        <w:rPr>
          <w:rFonts w:ascii="Trebuchet MS" w:hAnsi="Trebuchet MS"/>
        </w:rPr>
        <w:t>de responsabilidad de los órganos del Estado consagrada en</w:t>
      </w:r>
      <w:r>
        <w:rPr>
          <w:rFonts w:ascii="Trebuchet MS" w:hAnsi="Trebuchet MS"/>
        </w:rPr>
        <w:t xml:space="preserve"> </w:t>
      </w:r>
      <w:r w:rsidRPr="00D8415F">
        <w:rPr>
          <w:rFonts w:ascii="Trebuchet MS" w:hAnsi="Trebuchet MS"/>
        </w:rPr>
        <w:t>los artículos 6, 7 y 38 de la Carta Fundamental</w:t>
      </w:r>
      <w:r>
        <w:rPr>
          <w:rFonts w:ascii="Trebuchet MS" w:hAnsi="Trebuchet MS"/>
        </w:rPr>
        <w:t>”.</w:t>
      </w:r>
      <w:r>
        <w:rPr>
          <w:rStyle w:val="Refdenotaalpie"/>
          <w:rFonts w:ascii="Trebuchet MS" w:hAnsi="Trebuchet MS"/>
        </w:rPr>
        <w:footnoteReference w:id="40"/>
      </w:r>
      <w:r w:rsidRPr="00D8415F">
        <w:rPr>
          <w:rFonts w:ascii="Trebuchet MS" w:hAnsi="Trebuchet MS"/>
        </w:rPr>
        <w:t xml:space="preserve"> </w:t>
      </w:r>
    </w:p>
    <w:p w14:paraId="1828A285" w14:textId="77777777" w:rsidR="00C3307B" w:rsidRDefault="00C3307B" w:rsidP="00C3307B">
      <w:pPr>
        <w:shd w:val="clear" w:color="auto" w:fill="FFFFFF"/>
        <w:spacing w:after="0" w:line="240" w:lineRule="auto"/>
        <w:jc w:val="both"/>
        <w:rPr>
          <w:highlight w:val="yellow"/>
        </w:rPr>
      </w:pPr>
    </w:p>
    <w:p w14:paraId="69EF975D" w14:textId="77777777" w:rsidR="00C3307B" w:rsidRDefault="00C3307B" w:rsidP="00C3307B">
      <w:pPr>
        <w:shd w:val="clear" w:color="auto" w:fill="FFFFFF"/>
        <w:spacing w:after="0" w:line="240" w:lineRule="auto"/>
        <w:jc w:val="both"/>
        <w:rPr>
          <w:rFonts w:ascii="Trebuchet MS" w:hAnsi="Trebuchet MS"/>
        </w:rPr>
      </w:pPr>
      <w:r w:rsidRPr="007C4300">
        <w:rPr>
          <w:rFonts w:ascii="Trebuchet MS" w:hAnsi="Trebuchet MS"/>
        </w:rPr>
        <w:t>Finalmente, la Corte asienta que “la noción de falta de servicio, como el factor de imputación que genera responsabilidad, excluye toda posibilidad de reconducción al Código Civil, cuestión que impide adicionar exigencias relacionadas con el dolo o culpa del funcionario que actuó como al establecimiento de negligencia, imprudencia, impericia e inobservancia de reglamentos por parte de la administración o el funcionario”. Tesis que es abonada por la historia legislativa del artículo 4 de la Ley N° 18.575, así es como en el Informe de la Cuarta Comisión Legislativa (página 164) se indica textualmente que: “Cabe hacer presente que no se utilizó la expresión 'responsables civilmente', a fin de evitar confusiones con la responsabilidad civil consagrada en el Código Civil”</w:t>
      </w:r>
      <w:r>
        <w:rPr>
          <w:rStyle w:val="Refdenotaalpie"/>
          <w:rFonts w:ascii="Trebuchet MS" w:hAnsi="Trebuchet MS"/>
        </w:rPr>
        <w:footnoteReference w:id="41"/>
      </w:r>
    </w:p>
    <w:p w14:paraId="278EBCD4" w14:textId="77777777" w:rsidR="00C3307B" w:rsidRPr="007C4300" w:rsidRDefault="00C3307B" w:rsidP="00C3307B">
      <w:pPr>
        <w:shd w:val="clear" w:color="auto" w:fill="FFFFFF"/>
        <w:spacing w:after="0" w:line="240" w:lineRule="auto"/>
        <w:jc w:val="both"/>
        <w:rPr>
          <w:rFonts w:ascii="Trebuchet MS" w:hAnsi="Trebuchet MS"/>
        </w:rPr>
      </w:pPr>
    </w:p>
    <w:p w14:paraId="29EED607" w14:textId="77777777" w:rsidR="00C3307B" w:rsidRPr="00ED1D76" w:rsidRDefault="00C3307B" w:rsidP="00C3307B">
      <w:pPr>
        <w:shd w:val="clear" w:color="auto" w:fill="FFFFFF"/>
        <w:spacing w:after="0" w:line="240" w:lineRule="auto"/>
        <w:jc w:val="both"/>
        <w:rPr>
          <w:rFonts w:ascii="Trebuchet MS" w:hAnsi="Trebuchet MS"/>
        </w:rPr>
      </w:pPr>
      <w:r w:rsidRPr="00ED1D76">
        <w:rPr>
          <w:rFonts w:ascii="Trebuchet MS" w:hAnsi="Trebuchet MS"/>
        </w:rPr>
        <w:t>“En consecuencia, se consagra en este artículo un</w:t>
      </w:r>
      <w:r>
        <w:rPr>
          <w:rFonts w:ascii="Trebuchet MS" w:hAnsi="Trebuchet MS"/>
        </w:rPr>
        <w:t xml:space="preserve"> </w:t>
      </w:r>
      <w:r w:rsidRPr="00ED1D76">
        <w:rPr>
          <w:rFonts w:ascii="Trebuchet MS" w:hAnsi="Trebuchet MS"/>
        </w:rPr>
        <w:t>criterio nuevo de responsabilidad, que no es el</w:t>
      </w:r>
      <w:r>
        <w:rPr>
          <w:rFonts w:ascii="Trebuchet MS" w:hAnsi="Trebuchet MS"/>
        </w:rPr>
        <w:t xml:space="preserve"> </w:t>
      </w:r>
      <w:r w:rsidRPr="00ED1D76">
        <w:rPr>
          <w:rFonts w:ascii="Trebuchet MS" w:hAnsi="Trebuchet MS"/>
        </w:rPr>
        <w:t>tradicional de la responsabilidad subjetiva basada en el</w:t>
      </w:r>
      <w:r>
        <w:rPr>
          <w:rFonts w:ascii="Trebuchet MS" w:hAnsi="Trebuchet MS"/>
        </w:rPr>
        <w:t xml:space="preserve"> </w:t>
      </w:r>
      <w:r w:rsidRPr="00ED1D76">
        <w:rPr>
          <w:rFonts w:ascii="Trebuchet MS" w:hAnsi="Trebuchet MS"/>
        </w:rPr>
        <w:t>dolo o la culpa de un denominado funcionario, sino que</w:t>
      </w:r>
      <w:r>
        <w:rPr>
          <w:rFonts w:ascii="Trebuchet MS" w:hAnsi="Trebuchet MS"/>
        </w:rPr>
        <w:t xml:space="preserve"> </w:t>
      </w:r>
      <w:r w:rsidRPr="00ED1D76">
        <w:rPr>
          <w:rFonts w:ascii="Trebuchet MS" w:hAnsi="Trebuchet MS"/>
        </w:rPr>
        <w:t>atiende a un elemento objetivo que es la falta deservicio público”, como también lo indica expresamente el</w:t>
      </w:r>
      <w:r>
        <w:rPr>
          <w:rFonts w:ascii="Trebuchet MS" w:hAnsi="Trebuchet MS"/>
        </w:rPr>
        <w:t xml:space="preserve"> </w:t>
      </w:r>
      <w:r w:rsidRPr="00ED1D76">
        <w:rPr>
          <w:rFonts w:ascii="Trebuchet MS" w:hAnsi="Trebuchet MS"/>
        </w:rPr>
        <w:t>Informe de la Cuarta Comisión Legislativa (página 175).De esta forma, “acreditando el afectado que un</w:t>
      </w:r>
      <w:r>
        <w:rPr>
          <w:rFonts w:ascii="Trebuchet MS" w:hAnsi="Trebuchet MS"/>
        </w:rPr>
        <w:t xml:space="preserve"> </w:t>
      </w:r>
      <w:r w:rsidRPr="00ED1D76">
        <w:rPr>
          <w:rFonts w:ascii="Trebuchet MS" w:hAnsi="Trebuchet MS"/>
        </w:rPr>
        <w:t>servicio público no ha funcionado, debiendo hacerlo, o</w:t>
      </w:r>
      <w:r>
        <w:rPr>
          <w:rFonts w:ascii="Trebuchet MS" w:hAnsi="Trebuchet MS"/>
        </w:rPr>
        <w:t xml:space="preserve"> </w:t>
      </w:r>
      <w:r w:rsidRPr="00ED1D76">
        <w:rPr>
          <w:rFonts w:ascii="Trebuchet MS" w:hAnsi="Trebuchet MS"/>
        </w:rPr>
        <w:t>que ha funcionado de modo tardío o deficiente, y probar</w:t>
      </w:r>
      <w:r>
        <w:rPr>
          <w:rFonts w:ascii="Trebuchet MS" w:hAnsi="Trebuchet MS"/>
        </w:rPr>
        <w:t xml:space="preserve"> </w:t>
      </w:r>
      <w:r w:rsidRPr="00ED1D76">
        <w:rPr>
          <w:rFonts w:ascii="Trebuchet MS" w:hAnsi="Trebuchet MS"/>
        </w:rPr>
        <w:t>que a raíz de lo anterior se le ha causada un daño, está</w:t>
      </w:r>
      <w:r>
        <w:rPr>
          <w:rFonts w:ascii="Trebuchet MS" w:hAnsi="Trebuchet MS"/>
        </w:rPr>
        <w:t xml:space="preserve"> </w:t>
      </w:r>
      <w:r w:rsidRPr="00ED1D76">
        <w:rPr>
          <w:rFonts w:ascii="Trebuchet MS" w:hAnsi="Trebuchet MS"/>
        </w:rPr>
        <w:t>en situación de exigir indemnización de parte del Estado”, lo deja consignado el legislador en sus argumentaciones y fundamentos al aprobar la norma respectiva (página 176 del Informe de la Cuarta Comisión Legislativa). Todo lo expuesto, permite colegir que el sistema de responsabilidad consagrado en los artículos 4° y 42 de la Ley 18.575 constituye, en definitiva, un corolario y un elemento intrínseco de un Estado de Derecho.”</w:t>
      </w:r>
      <w:r w:rsidRPr="00ED1D76">
        <w:rPr>
          <w:rStyle w:val="Refdenotaalpie"/>
          <w:rFonts w:ascii="Trebuchet MS" w:hAnsi="Trebuchet MS"/>
        </w:rPr>
        <w:footnoteReference w:id="42"/>
      </w:r>
    </w:p>
    <w:p w14:paraId="4A95892F" w14:textId="77777777" w:rsidR="00C3307B" w:rsidRDefault="00C3307B" w:rsidP="00C3307B">
      <w:pPr>
        <w:shd w:val="clear" w:color="auto" w:fill="FFFFFF"/>
        <w:spacing w:after="0" w:line="240" w:lineRule="auto"/>
        <w:jc w:val="both"/>
        <w:rPr>
          <w:b/>
          <w:bCs/>
          <w:highlight w:val="yellow"/>
          <w:u w:val="single"/>
        </w:rPr>
      </w:pPr>
    </w:p>
    <w:p w14:paraId="65BCA437" w14:textId="68CBDB65" w:rsidR="00C3307B" w:rsidRPr="00701BA9" w:rsidRDefault="00C3307B" w:rsidP="00C3307B">
      <w:pPr>
        <w:spacing w:line="240" w:lineRule="auto"/>
        <w:jc w:val="both"/>
        <w:rPr>
          <w:rFonts w:ascii="Trebuchet MS" w:hAnsi="Trebuchet MS"/>
          <w:lang w:val="es-ES"/>
        </w:rPr>
      </w:pPr>
      <w:r>
        <w:rPr>
          <w:rFonts w:ascii="Trebuchet MS" w:hAnsi="Trebuchet MS"/>
          <w:lang w:val="es-ES"/>
        </w:rPr>
        <w:t xml:space="preserve">Por tales razones, </w:t>
      </w:r>
      <w:r w:rsidRPr="00D132B2">
        <w:rPr>
          <w:rFonts w:ascii="Trebuchet MS" w:hAnsi="Trebuchet MS"/>
          <w:u w:val="single"/>
        </w:rPr>
        <w:t>el proyecto de ley propone explicitar dentro del artículo 14</w:t>
      </w:r>
      <w:r>
        <w:rPr>
          <w:rFonts w:ascii="Trebuchet MS" w:hAnsi="Trebuchet MS"/>
          <w:u w:val="single"/>
        </w:rPr>
        <w:t xml:space="preserve">, </w:t>
      </w:r>
      <w:r w:rsidR="00617EB6">
        <w:rPr>
          <w:rFonts w:ascii="Trebuchet MS" w:hAnsi="Trebuchet MS"/>
          <w:u w:val="single"/>
        </w:rPr>
        <w:t>inciso segundo</w:t>
      </w:r>
      <w:r>
        <w:rPr>
          <w:rFonts w:ascii="Trebuchet MS" w:hAnsi="Trebuchet MS"/>
          <w:u w:val="single"/>
        </w:rPr>
        <w:t xml:space="preserve">, </w:t>
      </w:r>
      <w:r w:rsidRPr="00D132B2">
        <w:rPr>
          <w:rFonts w:ascii="Trebuchet MS" w:hAnsi="Trebuchet MS"/>
          <w:u w:val="single"/>
        </w:rPr>
        <w:t xml:space="preserve">que la </w:t>
      </w:r>
      <w:r w:rsidR="00617EB6" w:rsidRPr="00D132B2">
        <w:rPr>
          <w:rFonts w:ascii="Trebuchet MS" w:hAnsi="Trebuchet MS"/>
          <w:u w:val="single"/>
        </w:rPr>
        <w:t>responsabilidad “</w:t>
      </w:r>
      <w:r w:rsidRPr="00123533">
        <w:rPr>
          <w:rFonts w:ascii="Trebuchet MS" w:hAnsi="Trebuchet MS"/>
          <w:u w:val="single"/>
          <w:lang w:val="es-ES"/>
        </w:rPr>
        <w:t>corresponde a todos los órganos de la Administración conforme</w:t>
      </w:r>
      <w:r w:rsidRPr="00D132B2">
        <w:rPr>
          <w:rFonts w:ascii="Trebuchet MS" w:hAnsi="Trebuchet MS"/>
          <w:sz w:val="24"/>
          <w:szCs w:val="24"/>
          <w:u w:val="single"/>
          <w:lang w:val="es-ES"/>
        </w:rPr>
        <w:t xml:space="preserve"> a </w:t>
      </w:r>
      <w:r w:rsidRPr="00D132B2">
        <w:rPr>
          <w:rFonts w:ascii="Trebuchet MS" w:hAnsi="Trebuchet MS"/>
          <w:u w:val="single"/>
          <w:lang w:val="es-ES"/>
        </w:rPr>
        <w:t>lo dispuesto en el artículo 4°</w:t>
      </w:r>
      <w:r w:rsidRPr="00D132B2">
        <w:rPr>
          <w:rStyle w:val="Refdenotaalpie"/>
          <w:rFonts w:ascii="Trebuchet MS" w:hAnsi="Trebuchet MS"/>
          <w:u w:val="single"/>
          <w:lang w:val="es-ES"/>
        </w:rPr>
        <w:footnoteReference w:id="43"/>
      </w:r>
      <w:r w:rsidRPr="00D132B2">
        <w:rPr>
          <w:rFonts w:ascii="Trebuchet MS" w:hAnsi="Trebuchet MS"/>
          <w:u w:val="single"/>
          <w:lang w:val="es-ES"/>
        </w:rPr>
        <w:t xml:space="preserve"> de la presente ley, con independencia de que su organización y funcionamiento esté regulado en esta ley general o en leyes especiales. Y </w:t>
      </w:r>
      <w:r>
        <w:rPr>
          <w:rFonts w:ascii="Trebuchet MS" w:hAnsi="Trebuchet MS"/>
          <w:u w:val="single"/>
          <w:lang w:val="es-ES"/>
        </w:rPr>
        <w:t>que a</w:t>
      </w:r>
      <w:r w:rsidRPr="00D132B2">
        <w:rPr>
          <w:rFonts w:ascii="Trebuchet MS" w:hAnsi="Trebuchet MS"/>
          <w:u w:val="single"/>
          <w:lang w:val="es-ES"/>
        </w:rPr>
        <w:t>lcanza, también, a los órganos autónomos”</w:t>
      </w:r>
      <w:r w:rsidRPr="006A09E8">
        <w:rPr>
          <w:rFonts w:ascii="Trebuchet MS" w:hAnsi="Trebuchet MS"/>
          <w:lang w:val="es-ES"/>
        </w:rPr>
        <w:t>.</w:t>
      </w:r>
      <w:r>
        <w:rPr>
          <w:rFonts w:ascii="Trebuchet MS" w:hAnsi="Trebuchet MS"/>
          <w:sz w:val="24"/>
          <w:szCs w:val="24"/>
        </w:rPr>
        <w:t xml:space="preserve">  </w:t>
      </w:r>
    </w:p>
    <w:p w14:paraId="7A5DA306" w14:textId="77777777" w:rsidR="00C3307B" w:rsidRPr="00C3307B" w:rsidRDefault="00C3307B" w:rsidP="00C3307B">
      <w:pPr>
        <w:spacing w:line="252" w:lineRule="auto"/>
        <w:jc w:val="both"/>
        <w:rPr>
          <w:rFonts w:ascii="Trebuchet MS" w:hAnsi="Trebuchet MS"/>
        </w:rPr>
      </w:pPr>
    </w:p>
    <w:p w14:paraId="56BDE6DD" w14:textId="4F25DB5F" w:rsidR="00695DF4" w:rsidRDefault="00695DF4" w:rsidP="001D00C0">
      <w:pPr>
        <w:pStyle w:val="Prrafodelista"/>
        <w:numPr>
          <w:ilvl w:val="0"/>
          <w:numId w:val="26"/>
        </w:numPr>
        <w:spacing w:line="252" w:lineRule="auto"/>
        <w:ind w:left="1134" w:hanging="1134"/>
        <w:jc w:val="both"/>
        <w:rPr>
          <w:rFonts w:ascii="Trebuchet MS" w:hAnsi="Trebuchet MS"/>
        </w:rPr>
      </w:pPr>
      <w:r>
        <w:rPr>
          <w:rFonts w:ascii="Trebuchet MS" w:hAnsi="Trebuchet MS"/>
        </w:rPr>
        <w:t>LAS HIPÓTESIS OBJETIVAS EN LAS QUE EXISTE UNA FALTA DE SERVICIO.</w:t>
      </w:r>
    </w:p>
    <w:p w14:paraId="18A74527" w14:textId="473305EB" w:rsidR="0056334A" w:rsidRDefault="0056334A" w:rsidP="00695DF4">
      <w:pPr>
        <w:pStyle w:val="Prrafodelista"/>
        <w:shd w:val="clear" w:color="auto" w:fill="FFFFFF"/>
        <w:spacing w:after="0" w:line="240" w:lineRule="auto"/>
        <w:jc w:val="both"/>
        <w:rPr>
          <w:rFonts w:ascii="Trebuchet MS" w:hAnsi="Trebuchet MS"/>
          <w:highlight w:val="yellow"/>
        </w:rPr>
      </w:pPr>
    </w:p>
    <w:p w14:paraId="0EDAA77F" w14:textId="42076F01" w:rsidR="00B4552E" w:rsidRPr="00BE2CA4" w:rsidRDefault="00A97324" w:rsidP="00BE2CA4">
      <w:pPr>
        <w:jc w:val="both"/>
        <w:rPr>
          <w:rFonts w:ascii="Trebuchet MS" w:hAnsi="Trebuchet MS"/>
          <w:sz w:val="24"/>
          <w:szCs w:val="24"/>
        </w:rPr>
      </w:pPr>
      <w:r w:rsidRPr="00BE2CA4">
        <w:rPr>
          <w:rFonts w:ascii="Trebuchet MS" w:hAnsi="Trebuchet MS"/>
        </w:rPr>
        <w:t>La «falta de servicio» ha sido tradicionalmente definida por nuestra jurisprudencia, siguiendo la doctrina y jurisprudencia francesa, como aquella circunstancia que se presenta cuando «los órganos o agentes estatales no actúan debiendo hacerlo, o cuando su accionar es tardío o defectuoso, provocando, en uno u otro caso, o en concurrencia total o parcial, un daño a los usuarios o beneficiarios, del respectivo servicio público»</w:t>
      </w:r>
      <w:r w:rsidRPr="00BE2CA4">
        <w:rPr>
          <w:rStyle w:val="Refdenotaalpie"/>
          <w:rFonts w:ascii="Trebuchet MS" w:hAnsi="Trebuchet MS"/>
        </w:rPr>
        <w:footnoteReference w:id="44"/>
      </w:r>
      <w:r w:rsidRPr="00BE2CA4">
        <w:rPr>
          <w:rFonts w:ascii="Trebuchet MS" w:hAnsi="Trebuchet MS"/>
        </w:rPr>
        <w:t xml:space="preserve">. </w:t>
      </w:r>
      <w:r w:rsidRPr="00A97324">
        <w:rPr>
          <w:rFonts w:ascii="Trebuchet MS" w:hAnsi="Trebuchet MS"/>
        </w:rPr>
        <w:t>Así, si el particular no logra probar dicha falta, el Estado no estará obligado a indemnizar, ya que el daño se habría producido sin infracción al orden jurídico por parte de este, es decir, careciendo del elemento de antijuridicidad en la acción u omisión estatal</w:t>
      </w:r>
      <w:r>
        <w:rPr>
          <w:rFonts w:ascii="Trebuchet MS" w:hAnsi="Trebuchet MS"/>
        </w:rPr>
        <w:t>.</w:t>
      </w:r>
    </w:p>
    <w:p w14:paraId="7EE19E47" w14:textId="77777777" w:rsidR="00A97324" w:rsidRPr="00BE2CA4" w:rsidRDefault="00A97324" w:rsidP="00B4552E">
      <w:pPr>
        <w:shd w:val="clear" w:color="auto" w:fill="FFFFFF"/>
        <w:spacing w:after="0" w:line="240" w:lineRule="auto"/>
        <w:jc w:val="both"/>
        <w:rPr>
          <w:rFonts w:ascii="Trebuchet MS" w:hAnsi="Trebuchet MS"/>
          <w:sz w:val="12"/>
          <w:szCs w:val="12"/>
        </w:rPr>
      </w:pPr>
    </w:p>
    <w:p w14:paraId="32C85CFD" w14:textId="56FC8C01" w:rsidR="00A94A7F" w:rsidRDefault="00A94A7F" w:rsidP="00057A24">
      <w:pPr>
        <w:shd w:val="clear" w:color="auto" w:fill="FFFFFF"/>
        <w:spacing w:after="0" w:line="240" w:lineRule="auto"/>
        <w:jc w:val="both"/>
        <w:rPr>
          <w:highlight w:val="yellow"/>
        </w:rPr>
      </w:pPr>
      <w:r>
        <w:rPr>
          <w:rFonts w:ascii="Trebuchet MS" w:hAnsi="Trebuchet MS"/>
        </w:rPr>
        <w:t xml:space="preserve">Con relación a la hipótesis de </w:t>
      </w:r>
      <w:r w:rsidRPr="00A94A7F">
        <w:rPr>
          <w:rFonts w:ascii="Trebuchet MS" w:hAnsi="Trebuchet MS"/>
        </w:rPr>
        <w:t>incumplimiento de un deber, la Corte Suprema ha señalado</w:t>
      </w:r>
      <w:r>
        <w:rPr>
          <w:rFonts w:ascii="Trebuchet MS" w:hAnsi="Trebuchet MS"/>
          <w:b/>
          <w:bCs/>
        </w:rPr>
        <w:t xml:space="preserve"> </w:t>
      </w:r>
      <w:r>
        <w:rPr>
          <w:rFonts w:ascii="Trebuchet MS" w:hAnsi="Trebuchet MS"/>
        </w:rPr>
        <w:t>que</w:t>
      </w:r>
      <w:r w:rsidRPr="00A94A7F">
        <w:rPr>
          <w:rFonts w:ascii="Trebuchet MS" w:hAnsi="Trebuchet MS"/>
        </w:rPr>
        <w:t xml:space="preserve">, “(…) habrá de resaltarse que la omisión o abstención de un deber jurídico de la Administración generará responsabilidad para </w:t>
      </w:r>
      <w:proofErr w:type="gramStart"/>
      <w:r w:rsidRPr="00A94A7F">
        <w:rPr>
          <w:rFonts w:ascii="Trebuchet MS" w:hAnsi="Trebuchet MS"/>
        </w:rPr>
        <w:t>aquella si</w:t>
      </w:r>
      <w:proofErr w:type="gramEnd"/>
      <w:r w:rsidRPr="00A94A7F">
        <w:rPr>
          <w:rFonts w:ascii="Trebuchet MS" w:hAnsi="Trebuchet MS"/>
        </w:rPr>
        <w:t xml:space="preserve"> se trata del incumplimiento de un deber impuesto por el ordenamiento jurídico. En otras palabras, cuando se constate la ausencia de actividad del órgano del Estado debiendo aquella actividad haber</w:t>
      </w:r>
      <w:r>
        <w:rPr>
          <w:rFonts w:ascii="Trebuchet MS" w:hAnsi="Trebuchet MS"/>
        </w:rPr>
        <w:t xml:space="preserve"> </w:t>
      </w:r>
      <w:r w:rsidRPr="00A94A7F">
        <w:rPr>
          <w:rFonts w:ascii="Trebuchet MS" w:hAnsi="Trebuchet MS"/>
        </w:rPr>
        <w:t>existido, disponiendo de los medios para ello”</w:t>
      </w:r>
      <w:r>
        <w:rPr>
          <w:rStyle w:val="Refdenotaalpie"/>
          <w:rFonts w:ascii="Trebuchet MS" w:hAnsi="Trebuchet MS"/>
        </w:rPr>
        <w:footnoteReference w:id="45"/>
      </w:r>
      <w:r w:rsidRPr="00A94A7F">
        <w:rPr>
          <w:rFonts w:ascii="Trebuchet MS" w:hAnsi="Trebuchet MS"/>
        </w:rPr>
        <w:t xml:space="preserve">. </w:t>
      </w:r>
      <w:r>
        <w:rPr>
          <w:rFonts w:ascii="Trebuchet MS" w:hAnsi="Trebuchet MS"/>
          <w:b/>
          <w:bCs/>
        </w:rPr>
        <w:t xml:space="preserve"> </w:t>
      </w:r>
      <w:r>
        <w:rPr>
          <w:rFonts w:ascii="Trebuchet MS" w:hAnsi="Trebuchet MS"/>
        </w:rPr>
        <w:t>L</w:t>
      </w:r>
      <w:r w:rsidRPr="00A94A7F">
        <w:rPr>
          <w:rFonts w:ascii="Trebuchet MS" w:hAnsi="Trebuchet MS"/>
        </w:rPr>
        <w:t xml:space="preserve">a hipótesis del funcionamiento irregular </w:t>
      </w:r>
      <w:r>
        <w:rPr>
          <w:rFonts w:ascii="Trebuchet MS" w:hAnsi="Trebuchet MS"/>
        </w:rPr>
        <w:t xml:space="preserve">o </w:t>
      </w:r>
      <w:r w:rsidRPr="00A94A7F">
        <w:rPr>
          <w:rFonts w:ascii="Trebuchet MS" w:hAnsi="Trebuchet MS"/>
        </w:rPr>
        <w:t>cumplimiento anormal de las funciones se debe analizar considerando “(…) entre otros aspectos la naturaleza de la actividad, los medios de que dispone el servicio, el lazo que une la víctima con el servició [sic], el grado de previsibilidad del daño y las circunstancias de tiempo y lugar”.</w:t>
      </w:r>
      <w:r>
        <w:rPr>
          <w:rStyle w:val="Refdenotaalpie"/>
          <w:rFonts w:ascii="Trebuchet MS" w:hAnsi="Trebuchet MS"/>
        </w:rPr>
        <w:footnoteReference w:id="46"/>
      </w:r>
      <w:r w:rsidRPr="00A94A7F">
        <w:rPr>
          <w:rFonts w:ascii="Trebuchet MS" w:hAnsi="Trebuchet MS"/>
        </w:rPr>
        <w:t xml:space="preserve"> </w:t>
      </w:r>
      <w:r>
        <w:rPr>
          <w:rFonts w:ascii="Trebuchet MS" w:hAnsi="Trebuchet MS"/>
          <w:b/>
          <w:bCs/>
        </w:rPr>
        <w:t xml:space="preserve"> </w:t>
      </w:r>
    </w:p>
    <w:p w14:paraId="686ECF8F" w14:textId="4BA4239C" w:rsidR="00A94A7F" w:rsidRPr="00B4552E" w:rsidRDefault="00A94A7F" w:rsidP="00B4552E">
      <w:pPr>
        <w:shd w:val="clear" w:color="auto" w:fill="FFFFFF"/>
        <w:spacing w:after="0" w:line="240" w:lineRule="auto"/>
        <w:jc w:val="both"/>
        <w:rPr>
          <w:rFonts w:ascii="Trebuchet MS" w:hAnsi="Trebuchet MS"/>
        </w:rPr>
      </w:pPr>
    </w:p>
    <w:p w14:paraId="64760912" w14:textId="0013EBC7" w:rsidR="00671903" w:rsidRDefault="00671903" w:rsidP="00671903">
      <w:pPr>
        <w:shd w:val="clear" w:color="auto" w:fill="FFFFFF"/>
        <w:spacing w:after="0" w:line="240" w:lineRule="auto"/>
        <w:jc w:val="both"/>
        <w:rPr>
          <w:rFonts w:ascii="Trebuchet MS" w:hAnsi="Trebuchet MS"/>
        </w:rPr>
      </w:pPr>
      <w:r w:rsidRPr="00430739">
        <w:rPr>
          <w:rFonts w:ascii="Trebuchet MS" w:hAnsi="Trebuchet MS"/>
        </w:rPr>
        <w:t>El fundamento de este factor de imputación radica “</w:t>
      </w:r>
      <w:r>
        <w:rPr>
          <w:rFonts w:ascii="Trebuchet MS" w:hAnsi="Trebuchet MS"/>
        </w:rPr>
        <w:t>[</w:t>
      </w:r>
      <w:r w:rsidRPr="00430739">
        <w:rPr>
          <w:rFonts w:ascii="Trebuchet MS" w:hAnsi="Trebuchet MS"/>
        </w:rPr>
        <w:t>…</w:t>
      </w:r>
      <w:r>
        <w:rPr>
          <w:rFonts w:ascii="Trebuchet MS" w:hAnsi="Trebuchet MS"/>
        </w:rPr>
        <w:t>]</w:t>
      </w:r>
      <w:r w:rsidRPr="00430739">
        <w:rPr>
          <w:rFonts w:ascii="Trebuchet MS" w:hAnsi="Trebuchet MS"/>
        </w:rPr>
        <w:t xml:space="preserve"> en el hecho que quien contrae la obligación de prestar un servicio lo debe realizar en condiciones adecuadas para dar cumplimiento a los motivos considerados al otorgarle la competencia para ello, además de satisfacer el objetivo y fin para el cual ha sido dispuesta, siendo responsable de los perjuicios que causare su incumplimiento o irregular ejecución”</w:t>
      </w:r>
      <w:r>
        <w:rPr>
          <w:rStyle w:val="Refdenotaalpie"/>
          <w:rFonts w:ascii="Trebuchet MS" w:hAnsi="Trebuchet MS"/>
        </w:rPr>
        <w:footnoteReference w:id="47"/>
      </w:r>
      <w:r w:rsidRPr="00430739">
        <w:rPr>
          <w:rFonts w:ascii="Trebuchet MS" w:hAnsi="Trebuchet MS"/>
        </w:rPr>
        <w:t xml:space="preserve">. </w:t>
      </w:r>
    </w:p>
    <w:p w14:paraId="1748E632" w14:textId="77777777" w:rsidR="00671903" w:rsidRPr="00430739" w:rsidRDefault="00671903" w:rsidP="00671903">
      <w:pPr>
        <w:shd w:val="clear" w:color="auto" w:fill="FFFFFF"/>
        <w:spacing w:after="0" w:line="240" w:lineRule="auto"/>
        <w:jc w:val="both"/>
        <w:rPr>
          <w:rFonts w:ascii="Trebuchet MS" w:hAnsi="Trebuchet MS"/>
        </w:rPr>
      </w:pPr>
    </w:p>
    <w:p w14:paraId="47E030D4" w14:textId="77777777" w:rsidR="00671903" w:rsidRPr="00B4552E" w:rsidRDefault="00671903" w:rsidP="00671903">
      <w:pPr>
        <w:shd w:val="clear" w:color="auto" w:fill="FFFFFF"/>
        <w:spacing w:after="0" w:line="240" w:lineRule="auto"/>
        <w:jc w:val="both"/>
        <w:rPr>
          <w:rFonts w:ascii="Trebuchet MS" w:hAnsi="Trebuchet MS"/>
        </w:rPr>
      </w:pPr>
      <w:r w:rsidRPr="00430739">
        <w:rPr>
          <w:rFonts w:ascii="Trebuchet MS" w:hAnsi="Trebuchet MS"/>
        </w:rPr>
        <w:t xml:space="preserve">En una prevención del mes de octubre de 2018, el </w:t>
      </w:r>
      <w:proofErr w:type="gramStart"/>
      <w:r w:rsidRPr="00430739">
        <w:rPr>
          <w:rFonts w:ascii="Trebuchet MS" w:hAnsi="Trebuchet MS"/>
        </w:rPr>
        <w:t>Ministro</w:t>
      </w:r>
      <w:proofErr w:type="gramEnd"/>
      <w:r w:rsidRPr="00430739">
        <w:rPr>
          <w:rFonts w:ascii="Trebuchet MS" w:hAnsi="Trebuchet MS"/>
        </w:rPr>
        <w:t xml:space="preserve"> </w:t>
      </w:r>
      <w:r>
        <w:rPr>
          <w:rFonts w:ascii="Trebuchet MS" w:hAnsi="Trebuchet MS"/>
        </w:rPr>
        <w:t>Sergio</w:t>
      </w:r>
      <w:r w:rsidRPr="00430739">
        <w:rPr>
          <w:rFonts w:ascii="Trebuchet MS" w:hAnsi="Trebuchet MS"/>
        </w:rPr>
        <w:t xml:space="preserve"> Muñoz precisó que “(…) más que enunciar situaciones particulares integrantes de la noción de falta de servicio, ella corresponde a toda acción u omisión de la administración de la cual se generan daños para el administrado y en que ha existido una falla de cualquier orden en el servicio”</w:t>
      </w:r>
      <w:r>
        <w:rPr>
          <w:rStyle w:val="Refdenotaalpie"/>
          <w:rFonts w:ascii="Trebuchet MS" w:hAnsi="Trebuchet MS"/>
        </w:rPr>
        <w:footnoteReference w:id="48"/>
      </w:r>
      <w:r w:rsidRPr="00430739">
        <w:rPr>
          <w:rFonts w:ascii="Trebuchet MS" w:hAnsi="Trebuchet MS"/>
        </w:rPr>
        <w:t xml:space="preserve">. </w:t>
      </w:r>
    </w:p>
    <w:p w14:paraId="2529F203" w14:textId="77777777" w:rsidR="00E50B74" w:rsidRDefault="00E50B74" w:rsidP="00430739">
      <w:pPr>
        <w:shd w:val="clear" w:color="auto" w:fill="FFFFFF"/>
        <w:spacing w:after="0" w:line="240" w:lineRule="auto"/>
        <w:jc w:val="both"/>
        <w:rPr>
          <w:rFonts w:ascii="Trebuchet MS" w:hAnsi="Trebuchet MS"/>
        </w:rPr>
      </w:pPr>
    </w:p>
    <w:p w14:paraId="2C7EE0A3" w14:textId="69B08BC6" w:rsidR="00C05000" w:rsidRPr="00C05000" w:rsidRDefault="00E50B74" w:rsidP="00057A24">
      <w:pPr>
        <w:shd w:val="clear" w:color="auto" w:fill="FFFFFF"/>
        <w:spacing w:after="0" w:line="240" w:lineRule="auto"/>
        <w:jc w:val="both"/>
        <w:rPr>
          <w:rFonts w:ascii="Trebuchet MS" w:hAnsi="Trebuchet MS"/>
        </w:rPr>
      </w:pPr>
      <w:r>
        <w:rPr>
          <w:rFonts w:ascii="Trebuchet MS" w:hAnsi="Trebuchet MS"/>
        </w:rPr>
        <w:t xml:space="preserve">No </w:t>
      </w:r>
      <w:r w:rsidR="00671903">
        <w:rPr>
          <w:rFonts w:ascii="Trebuchet MS" w:hAnsi="Trebuchet MS"/>
        </w:rPr>
        <w:t>obstante,</w:t>
      </w:r>
      <w:r>
        <w:rPr>
          <w:rFonts w:ascii="Trebuchet MS" w:hAnsi="Trebuchet MS"/>
        </w:rPr>
        <w:t xml:space="preserve"> en 2018 </w:t>
      </w:r>
      <w:r w:rsidR="00671903">
        <w:rPr>
          <w:rFonts w:ascii="Trebuchet MS" w:hAnsi="Trebuchet MS"/>
        </w:rPr>
        <w:t xml:space="preserve"> la Corte Suprema</w:t>
      </w:r>
      <w:r w:rsidR="00B4552E" w:rsidRPr="00295289">
        <w:rPr>
          <w:rFonts w:ascii="Trebuchet MS" w:hAnsi="Trebuchet MS"/>
        </w:rPr>
        <w:t xml:space="preserve"> </w:t>
      </w:r>
      <w:r w:rsidR="00295289">
        <w:rPr>
          <w:rFonts w:ascii="Trebuchet MS" w:hAnsi="Trebuchet MS"/>
        </w:rPr>
        <w:t xml:space="preserve">ha precisado que </w:t>
      </w:r>
      <w:r w:rsidR="00B4552E" w:rsidRPr="00295289">
        <w:rPr>
          <w:rFonts w:ascii="Trebuchet MS" w:hAnsi="Trebuchet MS"/>
        </w:rPr>
        <w:t>“</w:t>
      </w:r>
      <w:r w:rsidR="00295289">
        <w:rPr>
          <w:rFonts w:ascii="Trebuchet MS" w:hAnsi="Trebuchet MS"/>
        </w:rPr>
        <w:t>l</w:t>
      </w:r>
      <w:r w:rsidR="00B4552E" w:rsidRPr="00295289">
        <w:rPr>
          <w:rFonts w:ascii="Trebuchet MS" w:hAnsi="Trebuchet MS"/>
        </w:rPr>
        <w:t>a falta de servicio se puede conceptualizar como la actuación ilegítima de la Administración</w:t>
      </w:r>
      <w:r w:rsidR="00295289">
        <w:rPr>
          <w:rFonts w:ascii="Trebuchet MS" w:hAnsi="Trebuchet MS"/>
        </w:rPr>
        <w:t xml:space="preserve"> [</w:t>
      </w:r>
      <w:r w:rsidR="00B4552E" w:rsidRPr="00295289">
        <w:rPr>
          <w:rFonts w:ascii="Trebuchet MS" w:hAnsi="Trebuchet MS"/>
        </w:rPr>
        <w:t>…</w:t>
      </w:r>
      <w:r w:rsidR="00295289">
        <w:rPr>
          <w:rFonts w:ascii="Trebuchet MS" w:hAnsi="Trebuchet MS"/>
        </w:rPr>
        <w:t>]</w:t>
      </w:r>
      <w:r w:rsidR="00B4552E" w:rsidRPr="00295289">
        <w:rPr>
          <w:rFonts w:ascii="Trebuchet MS" w:hAnsi="Trebuchet MS"/>
        </w:rPr>
        <w:t xml:space="preserve"> consistente en el incumplimiento de obligaciones de parte de un órgano del Estado [que] se produce con motivo de: a) la ausencia total u omisión de funcionamiento de la Administración debiendo hacerlo, mediante la correspondiente actuación</w:t>
      </w:r>
      <w:r w:rsidR="00295289">
        <w:rPr>
          <w:rFonts w:ascii="Trebuchet MS" w:hAnsi="Trebuchet MS"/>
        </w:rPr>
        <w:t xml:space="preserve">;  </w:t>
      </w:r>
      <w:r w:rsidR="00B4552E" w:rsidRPr="00295289">
        <w:rPr>
          <w:rFonts w:ascii="Trebuchet MS" w:hAnsi="Trebuchet MS"/>
        </w:rPr>
        <w:t>b) un mal, inadecuado, deficiente o indebido funcionamiento; c) el funcionamiento inoportuno, que se produce al desempeñar las atribuciones, actuar los órganos, ejecutar las prestaciones, cumplir las funciones o emplear las competencias de manera tardía</w:t>
      </w:r>
      <w:r w:rsidR="00430739">
        <w:rPr>
          <w:rFonts w:ascii="Trebuchet MS" w:hAnsi="Trebuchet MS"/>
        </w:rPr>
        <w:t xml:space="preserve">; </w:t>
      </w:r>
      <w:r w:rsidR="00B4552E" w:rsidRPr="00295289">
        <w:rPr>
          <w:rFonts w:ascii="Trebuchet MS" w:hAnsi="Trebuchet MS"/>
        </w:rPr>
        <w:t xml:space="preserve"> o</w:t>
      </w:r>
      <w:r w:rsidR="00430739">
        <w:rPr>
          <w:rFonts w:ascii="Trebuchet MS" w:hAnsi="Trebuchet MS"/>
        </w:rPr>
        <w:t xml:space="preserve"> </w:t>
      </w:r>
      <w:r w:rsidR="00B4552E" w:rsidRPr="00430739">
        <w:rPr>
          <w:rFonts w:ascii="Trebuchet MS" w:hAnsi="Trebuchet MS"/>
        </w:rPr>
        <w:t xml:space="preserve">d) un funcionamiento irregular de la </w:t>
      </w:r>
      <w:r w:rsidR="001B6A36">
        <w:rPr>
          <w:rFonts w:ascii="Trebuchet MS" w:hAnsi="Trebuchet MS"/>
        </w:rPr>
        <w:t xml:space="preserve">Administración </w:t>
      </w:r>
      <w:r w:rsidR="001B6A36" w:rsidRPr="001B6A36">
        <w:rPr>
          <w:rFonts w:ascii="Trebuchet MS" w:hAnsi="Trebuchet MS"/>
        </w:rPr>
        <w:t>institucionalmente considerada, esto es, contrariamente a lo que corresponde a un comportamiento común y ordinario exigible a un servicio moderno”.</w:t>
      </w:r>
    </w:p>
    <w:p w14:paraId="151D9499" w14:textId="77777777" w:rsidR="001B6A36" w:rsidRDefault="001B6A36" w:rsidP="00057A24">
      <w:pPr>
        <w:shd w:val="clear" w:color="auto" w:fill="FFFFFF"/>
        <w:spacing w:after="0" w:line="240" w:lineRule="auto"/>
        <w:jc w:val="both"/>
        <w:rPr>
          <w:rFonts w:ascii="Trebuchet MS" w:hAnsi="Trebuchet MS"/>
        </w:rPr>
      </w:pPr>
    </w:p>
    <w:p w14:paraId="47761878" w14:textId="323A4365" w:rsidR="00057A24" w:rsidRDefault="00202216" w:rsidP="00057A24">
      <w:pPr>
        <w:shd w:val="clear" w:color="auto" w:fill="FFFFFF"/>
        <w:spacing w:after="0" w:line="240" w:lineRule="auto"/>
        <w:jc w:val="both"/>
        <w:rPr>
          <w:rFonts w:ascii="Trebuchet MS" w:hAnsi="Trebuchet MS"/>
        </w:rPr>
      </w:pPr>
      <w:r>
        <w:rPr>
          <w:rFonts w:ascii="Trebuchet MS" w:hAnsi="Trebuchet MS"/>
        </w:rPr>
        <w:t>Así, resulta claro que a</w:t>
      </w:r>
      <w:r w:rsidR="00430739" w:rsidRPr="00430739">
        <w:rPr>
          <w:rFonts w:ascii="Trebuchet MS" w:hAnsi="Trebuchet MS"/>
        </w:rPr>
        <w:t xml:space="preserve"> través de la incorporación de la falta de servicio, “(…) se produce una objetivación de los supuestos en que la Administración del Estado debe responder por los daños que infiere a los particulares, toda vez que no será necesario comprobar la negligencia del funcionario o agente y mucho menos identificarlo plenamente (falta anónima), sino que sólo bastará con encontrarse en alguno de los supuestos constitutivos de la misma”.</w:t>
      </w:r>
      <w:r>
        <w:rPr>
          <w:rStyle w:val="Refdenotaalpie"/>
          <w:rFonts w:ascii="Trebuchet MS" w:hAnsi="Trebuchet MS"/>
        </w:rPr>
        <w:footnoteReference w:id="49"/>
      </w:r>
      <w:r w:rsidR="00430739" w:rsidRPr="00430739">
        <w:rPr>
          <w:rFonts w:ascii="Trebuchet MS" w:hAnsi="Trebuchet MS"/>
        </w:rPr>
        <w:t xml:space="preserve"> </w:t>
      </w:r>
      <w:r w:rsidR="00057A24">
        <w:rPr>
          <w:rFonts w:ascii="Trebuchet MS" w:hAnsi="Trebuchet MS"/>
        </w:rPr>
        <w:t xml:space="preserve"> Tanto en la hipótesis del incumplimiento de un deber como en la hipótesis de funcionamiento irregular- como ya hemos referido-  es “irrelevante la persona del funcionario y puede o no ser individualizado”</w:t>
      </w:r>
      <w:r w:rsidR="00057A24">
        <w:rPr>
          <w:rStyle w:val="Refdenotaalpie"/>
          <w:rFonts w:ascii="Trebuchet MS" w:hAnsi="Trebuchet MS"/>
        </w:rPr>
        <w:footnoteReference w:id="50"/>
      </w:r>
      <w:r w:rsidR="00057A24">
        <w:rPr>
          <w:rFonts w:ascii="Trebuchet MS" w:hAnsi="Trebuchet MS"/>
        </w:rPr>
        <w:t>, pues  “ el hecho del servicio es aquel que es indisociable del funcionamiento de la máquina administrativa tomada en su globalidad”.</w:t>
      </w:r>
      <w:r w:rsidR="00057A24">
        <w:rPr>
          <w:rStyle w:val="Refdenotaalpie"/>
          <w:rFonts w:ascii="Trebuchet MS" w:hAnsi="Trebuchet MS"/>
        </w:rPr>
        <w:footnoteReference w:id="51"/>
      </w:r>
      <w:r w:rsidR="00057A24">
        <w:rPr>
          <w:rFonts w:ascii="Trebuchet MS" w:hAnsi="Trebuchet MS"/>
        </w:rPr>
        <w:t xml:space="preserve">  </w:t>
      </w:r>
    </w:p>
    <w:p w14:paraId="189594EE" w14:textId="77777777" w:rsidR="00057A24" w:rsidRDefault="00057A24" w:rsidP="00057A24">
      <w:pPr>
        <w:pStyle w:val="Prrafodelista"/>
        <w:shd w:val="clear" w:color="auto" w:fill="FFFFFF"/>
        <w:spacing w:after="0" w:line="240" w:lineRule="auto"/>
        <w:jc w:val="both"/>
        <w:rPr>
          <w:highlight w:val="yellow"/>
        </w:rPr>
      </w:pPr>
    </w:p>
    <w:p w14:paraId="54395066" w14:textId="77777777" w:rsidR="008B6F75" w:rsidRPr="008B6F75" w:rsidRDefault="00BE2976" w:rsidP="008B6F75">
      <w:pPr>
        <w:shd w:val="clear" w:color="auto" w:fill="FFFFFF"/>
        <w:spacing w:after="0" w:line="240" w:lineRule="auto"/>
        <w:jc w:val="both"/>
        <w:rPr>
          <w:rFonts w:ascii="Trebuchet MS" w:hAnsi="Trebuchet MS"/>
        </w:rPr>
      </w:pPr>
      <w:r>
        <w:rPr>
          <w:rFonts w:ascii="Trebuchet MS" w:hAnsi="Trebuchet MS"/>
          <w:lang w:val="es-ES"/>
        </w:rPr>
        <w:t xml:space="preserve">Así por ejemplo, en agosto del  2020 , la Corte Suprema  condena al Fisco a </w:t>
      </w:r>
      <w:r w:rsidRPr="00AE062B">
        <w:rPr>
          <w:rFonts w:ascii="Trebuchet MS" w:hAnsi="Trebuchet MS"/>
          <w:lang w:val="es-ES"/>
        </w:rPr>
        <w:t xml:space="preserve">pagar los perjuicios sufridos  </w:t>
      </w:r>
      <w:r w:rsidRPr="00AE062B">
        <w:rPr>
          <w:rFonts w:ascii="Trebuchet MS" w:hAnsi="Trebuchet MS"/>
        </w:rPr>
        <w:t>por Marcelo Hernández Céspedes por “los hechos ocurridos el día 15 de marzo de 2012,</w:t>
      </w:r>
      <w:r w:rsidRPr="00AE062B">
        <w:t xml:space="preserve"> </w:t>
      </w:r>
      <w:r w:rsidRPr="00AE062B">
        <w:rPr>
          <w:rFonts w:ascii="Trebuchet MS" w:hAnsi="Trebuchet MS"/>
        </w:rPr>
        <w:t>en el desarrollo de</w:t>
      </w:r>
      <w:r>
        <w:rPr>
          <w:rFonts w:ascii="Trebuchet MS" w:hAnsi="Trebuchet MS"/>
        </w:rPr>
        <w:t xml:space="preserve"> </w:t>
      </w:r>
      <w:r w:rsidRPr="00AE062B">
        <w:rPr>
          <w:rFonts w:ascii="Trebuchet MS" w:hAnsi="Trebuchet MS"/>
        </w:rPr>
        <w:t>actos de protesta realizados por participantes del</w:t>
      </w:r>
      <w:r>
        <w:rPr>
          <w:rFonts w:ascii="Trebuchet MS" w:hAnsi="Trebuchet MS"/>
          <w:lang w:val="es-ES"/>
        </w:rPr>
        <w:t xml:space="preserve"> </w:t>
      </w:r>
      <w:r w:rsidRPr="00AE062B">
        <w:rPr>
          <w:rFonts w:ascii="Trebuchet MS" w:hAnsi="Trebuchet MS"/>
        </w:rPr>
        <w:t>movimiento social “Aysén, tu problema es mi problema” en la</w:t>
      </w:r>
      <w:r>
        <w:rPr>
          <w:rFonts w:ascii="Trebuchet MS" w:hAnsi="Trebuchet MS"/>
          <w:lang w:val="es-ES"/>
        </w:rPr>
        <w:t xml:space="preserve"> </w:t>
      </w:r>
      <w:r w:rsidRPr="00AE062B">
        <w:rPr>
          <w:rFonts w:ascii="Trebuchet MS" w:hAnsi="Trebuchet MS"/>
        </w:rPr>
        <w:t>ciudad de Puerto Aysén  en los que intervino la autoridad</w:t>
      </w:r>
      <w:r>
        <w:rPr>
          <w:rFonts w:ascii="Trebuchet MS" w:hAnsi="Trebuchet MS"/>
          <w:lang w:val="es-ES"/>
        </w:rPr>
        <w:t xml:space="preserve"> </w:t>
      </w:r>
      <w:r w:rsidRPr="00AE062B">
        <w:rPr>
          <w:rFonts w:ascii="Trebuchet MS" w:hAnsi="Trebuchet MS"/>
        </w:rPr>
        <w:t>policial, haciendo uso de sus armas y elementos de</w:t>
      </w:r>
      <w:r>
        <w:rPr>
          <w:rFonts w:ascii="Trebuchet MS" w:hAnsi="Trebuchet MS"/>
          <w:lang w:val="es-ES"/>
        </w:rPr>
        <w:t xml:space="preserve"> </w:t>
      </w:r>
      <w:r w:rsidRPr="00AE062B">
        <w:rPr>
          <w:rFonts w:ascii="Trebuchet MS" w:hAnsi="Trebuchet MS"/>
        </w:rPr>
        <w:t>disuasión, oportunidad en la que Marcelo Hernández</w:t>
      </w:r>
      <w:r>
        <w:rPr>
          <w:rFonts w:ascii="Trebuchet MS" w:hAnsi="Trebuchet MS"/>
          <w:lang w:val="es-ES"/>
        </w:rPr>
        <w:t xml:space="preserve"> </w:t>
      </w:r>
      <w:r w:rsidRPr="00AE062B">
        <w:rPr>
          <w:rFonts w:ascii="Trebuchet MS" w:hAnsi="Trebuchet MS"/>
        </w:rPr>
        <w:t>Céspedes, quien participaba en dicha manifestación, fue</w:t>
      </w:r>
      <w:r>
        <w:rPr>
          <w:rFonts w:ascii="Trebuchet MS" w:hAnsi="Trebuchet MS"/>
          <w:lang w:val="es-ES"/>
        </w:rPr>
        <w:t xml:space="preserve"> </w:t>
      </w:r>
      <w:r w:rsidRPr="00AE062B">
        <w:rPr>
          <w:rFonts w:ascii="Trebuchet MS" w:hAnsi="Trebuchet MS"/>
        </w:rPr>
        <w:t>impactado por un proyectil disparado por funcionarios</w:t>
      </w:r>
      <w:r>
        <w:rPr>
          <w:rFonts w:ascii="Trebuchet MS" w:hAnsi="Trebuchet MS"/>
          <w:lang w:val="es-ES"/>
        </w:rPr>
        <w:t xml:space="preserve"> </w:t>
      </w:r>
      <w:r w:rsidRPr="00AE062B">
        <w:rPr>
          <w:rFonts w:ascii="Trebuchet MS" w:hAnsi="Trebuchet MS"/>
        </w:rPr>
        <w:t>policiales, el cual le ocasionó lesiones graves y</w:t>
      </w:r>
      <w:r>
        <w:rPr>
          <w:rFonts w:ascii="Trebuchet MS" w:hAnsi="Trebuchet MS"/>
          <w:lang w:val="es-ES"/>
        </w:rPr>
        <w:t xml:space="preserve"> </w:t>
      </w:r>
      <w:r w:rsidRPr="00AE062B">
        <w:rPr>
          <w:rFonts w:ascii="Trebuchet MS" w:hAnsi="Trebuchet MS"/>
        </w:rPr>
        <w:t>permanentes en su ojo derecho, el que finalmente perdió”</w:t>
      </w:r>
      <w:r w:rsidRPr="00AE062B">
        <w:rPr>
          <w:rStyle w:val="Refdenotaalpie"/>
          <w:rFonts w:ascii="Trebuchet MS" w:hAnsi="Trebuchet MS"/>
        </w:rPr>
        <w:footnoteReference w:id="52"/>
      </w:r>
      <w:r w:rsidRPr="00AE062B">
        <w:rPr>
          <w:rFonts w:ascii="Trebuchet MS" w:hAnsi="Trebuchet MS"/>
        </w:rPr>
        <w:t>.</w:t>
      </w:r>
      <w:r>
        <w:rPr>
          <w:rFonts w:ascii="Trebuchet MS" w:hAnsi="Trebuchet MS"/>
        </w:rPr>
        <w:t xml:space="preserve"> La Corte señaló que: </w:t>
      </w:r>
      <w:r w:rsidRPr="00D132B2">
        <w:rPr>
          <w:rFonts w:ascii="Trebuchet MS" w:hAnsi="Trebuchet MS"/>
        </w:rPr>
        <w:t>“Carabineros de Chile es responsable por velar que el uso de la fuerza conduzca a la consecución de la finalidad buscada, esto es, el resguardo del orden público,</w:t>
      </w:r>
      <w:r w:rsidRPr="00DF63BD">
        <w:rPr>
          <w:rFonts w:ascii="Trebuchet MS" w:hAnsi="Trebuchet MS"/>
        </w:rPr>
        <w:t xml:space="preserve"> más aun cuando se trata del ejercicio de</w:t>
      </w:r>
      <w:r>
        <w:rPr>
          <w:rFonts w:ascii="Trebuchet MS" w:hAnsi="Trebuchet MS"/>
        </w:rPr>
        <w:t xml:space="preserve"> </w:t>
      </w:r>
      <w:r w:rsidRPr="00DF63BD">
        <w:rPr>
          <w:rFonts w:ascii="Trebuchet MS" w:hAnsi="Trebuchet MS"/>
        </w:rPr>
        <w:t>una función pública, debiendo responder cuando se hace uso</w:t>
      </w:r>
      <w:r>
        <w:rPr>
          <w:rFonts w:ascii="Trebuchet MS" w:hAnsi="Trebuchet MS"/>
        </w:rPr>
        <w:t xml:space="preserve"> </w:t>
      </w:r>
      <w:r w:rsidRPr="00DF63BD">
        <w:rPr>
          <w:rFonts w:ascii="Trebuchet MS" w:hAnsi="Trebuchet MS"/>
        </w:rPr>
        <w:t>de la fuerza y se producen resultados alejados de tal</w:t>
      </w:r>
      <w:r>
        <w:rPr>
          <w:rFonts w:ascii="Trebuchet MS" w:hAnsi="Trebuchet MS"/>
        </w:rPr>
        <w:t xml:space="preserve"> </w:t>
      </w:r>
      <w:r w:rsidRPr="00DF63BD">
        <w:rPr>
          <w:rFonts w:ascii="Trebuchet MS" w:hAnsi="Trebuchet MS"/>
        </w:rPr>
        <w:t>objetivo, en tanto la institución es quien, precisamente,</w:t>
      </w:r>
      <w:r>
        <w:rPr>
          <w:rFonts w:ascii="Trebuchet MS" w:hAnsi="Trebuchet MS"/>
        </w:rPr>
        <w:t xml:space="preserve"> </w:t>
      </w:r>
      <w:r w:rsidRPr="00DF63BD">
        <w:rPr>
          <w:rFonts w:ascii="Trebuchet MS" w:hAnsi="Trebuchet MS"/>
        </w:rPr>
        <w:t>se encuentra en posición de evitarlos</w:t>
      </w:r>
      <w:r>
        <w:rPr>
          <w:rFonts w:ascii="Trebuchet MS" w:hAnsi="Trebuchet MS"/>
        </w:rPr>
        <w:t>”</w:t>
      </w:r>
      <w:r>
        <w:rPr>
          <w:rStyle w:val="Refdenotaalpie"/>
          <w:rFonts w:ascii="Trebuchet MS" w:hAnsi="Trebuchet MS"/>
        </w:rPr>
        <w:footnoteReference w:id="53"/>
      </w:r>
      <w:r w:rsidRPr="00DF63BD">
        <w:rPr>
          <w:rFonts w:ascii="Trebuchet MS" w:hAnsi="Trebuchet MS"/>
        </w:rPr>
        <w:t>.</w:t>
      </w:r>
      <w:r>
        <w:rPr>
          <w:rFonts w:ascii="Trebuchet MS" w:hAnsi="Trebuchet MS"/>
        </w:rPr>
        <w:t>Concluyendo que “</w:t>
      </w:r>
      <w:r w:rsidRPr="00BE2976">
        <w:rPr>
          <w:rFonts w:ascii="Trebuchet MS" w:hAnsi="Trebuchet MS"/>
        </w:rPr>
        <w:t>la falta de</w:t>
      </w:r>
      <w:r>
        <w:rPr>
          <w:rFonts w:ascii="Trebuchet MS" w:hAnsi="Trebuchet MS"/>
        </w:rPr>
        <w:t xml:space="preserve"> </w:t>
      </w:r>
      <w:r w:rsidRPr="00BE2976">
        <w:rPr>
          <w:rFonts w:ascii="Trebuchet MS" w:hAnsi="Trebuchet MS"/>
        </w:rPr>
        <w:t>servicio en que incurrió Carabineros de Chile es palmaria,</w:t>
      </w:r>
      <w:r>
        <w:rPr>
          <w:rFonts w:ascii="Trebuchet MS" w:hAnsi="Trebuchet MS"/>
        </w:rPr>
        <w:t xml:space="preserve"> </w:t>
      </w:r>
      <w:r w:rsidRPr="00BE2976">
        <w:rPr>
          <w:rFonts w:ascii="Trebuchet MS" w:hAnsi="Trebuchet MS"/>
        </w:rPr>
        <w:t>puesto que el servicio se prestó en forma negligente,</w:t>
      </w:r>
      <w:r>
        <w:rPr>
          <w:rFonts w:ascii="Trebuchet MS" w:hAnsi="Trebuchet MS"/>
        </w:rPr>
        <w:t xml:space="preserve"> </w:t>
      </w:r>
      <w:r w:rsidRPr="00BE2976">
        <w:rPr>
          <w:rFonts w:ascii="Trebuchet MS" w:hAnsi="Trebuchet MS"/>
        </w:rPr>
        <w:t>causando daños a un particular</w:t>
      </w:r>
      <w:r>
        <w:rPr>
          <w:rFonts w:ascii="Trebuchet MS" w:hAnsi="Trebuchet MS"/>
        </w:rPr>
        <w:t>”</w:t>
      </w:r>
      <w:r>
        <w:rPr>
          <w:rStyle w:val="Refdenotaalpie"/>
          <w:rFonts w:ascii="Trebuchet MS" w:hAnsi="Trebuchet MS"/>
        </w:rPr>
        <w:footnoteReference w:id="54"/>
      </w:r>
      <w:r w:rsidR="008B6F75">
        <w:rPr>
          <w:rFonts w:ascii="Trebuchet MS" w:hAnsi="Trebuchet MS"/>
        </w:rPr>
        <w:t>, considerando además que “</w:t>
      </w:r>
      <w:r w:rsidR="008B6F75" w:rsidRPr="008B6F75">
        <w:rPr>
          <w:rFonts w:ascii="Trebuchet MS" w:hAnsi="Trebuchet MS"/>
        </w:rPr>
        <w:t>No existió discusión entre las partes en que el</w:t>
      </w:r>
    </w:p>
    <w:p w14:paraId="026AA7C7" w14:textId="6600CBCC" w:rsidR="00BE2976" w:rsidRDefault="008B6F75" w:rsidP="008B6F75">
      <w:pPr>
        <w:shd w:val="clear" w:color="auto" w:fill="FFFFFF"/>
        <w:spacing w:after="0" w:line="240" w:lineRule="auto"/>
        <w:jc w:val="both"/>
        <w:rPr>
          <w:rFonts w:ascii="Trebuchet MS" w:hAnsi="Trebuchet MS"/>
        </w:rPr>
      </w:pPr>
      <w:r w:rsidRPr="008B6F75">
        <w:rPr>
          <w:rFonts w:ascii="Trebuchet MS" w:hAnsi="Trebuchet MS"/>
        </w:rPr>
        <w:t>elemento que causó la lesión del actor es un balín de goma,</w:t>
      </w:r>
      <w:r>
        <w:rPr>
          <w:rFonts w:ascii="Trebuchet MS" w:hAnsi="Trebuchet MS"/>
        </w:rPr>
        <w:t xml:space="preserve"> </w:t>
      </w:r>
      <w:r w:rsidRPr="008B6F75">
        <w:rPr>
          <w:rFonts w:ascii="Trebuchet MS" w:hAnsi="Trebuchet MS"/>
        </w:rPr>
        <w:t xml:space="preserve">proveniente de un cartucho </w:t>
      </w:r>
      <w:r w:rsidR="0012135B" w:rsidRPr="008B6F75">
        <w:rPr>
          <w:rFonts w:ascii="Trebuchet MS" w:hAnsi="Trebuchet MS"/>
        </w:rPr>
        <w:t>antidisturbios</w:t>
      </w:r>
      <w:r w:rsidRPr="008B6F75">
        <w:rPr>
          <w:rFonts w:ascii="Trebuchet MS" w:hAnsi="Trebuchet MS"/>
        </w:rPr>
        <w:t xml:space="preserve"> disparado por</w:t>
      </w:r>
      <w:r>
        <w:rPr>
          <w:rFonts w:ascii="Trebuchet MS" w:hAnsi="Trebuchet MS"/>
        </w:rPr>
        <w:t xml:space="preserve"> </w:t>
      </w:r>
      <w:r w:rsidRPr="008B6F75">
        <w:rPr>
          <w:rFonts w:ascii="Trebuchet MS" w:hAnsi="Trebuchet MS"/>
        </w:rPr>
        <w:t>personal de Carabineros el día de los hechos.</w:t>
      </w:r>
      <w:r w:rsidR="00E8614A" w:rsidRPr="00E8614A">
        <w:rPr>
          <w:rFonts w:ascii="Trebuchet MS" w:hAnsi="Trebuchet MS"/>
        </w:rPr>
        <w:t>”</w:t>
      </w:r>
      <w:r w:rsidR="00E8614A">
        <w:rPr>
          <w:rStyle w:val="Refdenotaalpie"/>
          <w:rFonts w:ascii="Trebuchet MS" w:hAnsi="Trebuchet MS"/>
        </w:rPr>
        <w:footnoteReference w:id="55"/>
      </w:r>
      <w:r w:rsidR="00E8614A" w:rsidRPr="00E8614A">
        <w:rPr>
          <w:rFonts w:ascii="Trebuchet MS" w:hAnsi="Trebuchet MS"/>
        </w:rPr>
        <w:t>.</w:t>
      </w:r>
    </w:p>
    <w:p w14:paraId="0B1F62AB" w14:textId="77777777" w:rsidR="00BE2976" w:rsidRPr="00DF63BD" w:rsidRDefault="00BE2976" w:rsidP="00BE2976">
      <w:pPr>
        <w:shd w:val="clear" w:color="auto" w:fill="FFFFFF"/>
        <w:spacing w:after="0" w:line="240" w:lineRule="auto"/>
        <w:jc w:val="both"/>
        <w:rPr>
          <w:rFonts w:ascii="Trebuchet MS" w:hAnsi="Trebuchet MS"/>
        </w:rPr>
      </w:pPr>
    </w:p>
    <w:p w14:paraId="1423FF6F" w14:textId="4DF53E17" w:rsidR="00EA4D46" w:rsidRDefault="00EA4D46" w:rsidP="00EA4D46">
      <w:pPr>
        <w:spacing w:line="240" w:lineRule="auto"/>
        <w:jc w:val="both"/>
        <w:rPr>
          <w:rFonts w:ascii="Times New Roman" w:hAnsi="Times New Roman" w:cs="Times New Roman"/>
          <w:sz w:val="24"/>
          <w:szCs w:val="24"/>
        </w:rPr>
      </w:pPr>
      <w:r>
        <w:rPr>
          <w:rFonts w:ascii="Trebuchet MS" w:hAnsi="Trebuchet MS"/>
        </w:rPr>
        <w:t xml:space="preserve">A su vez, en </w:t>
      </w:r>
      <w:proofErr w:type="gramStart"/>
      <w:r>
        <w:rPr>
          <w:rFonts w:ascii="Trebuchet MS" w:hAnsi="Trebuchet MS"/>
        </w:rPr>
        <w:t>Agosto</w:t>
      </w:r>
      <w:proofErr w:type="gramEnd"/>
      <w:r>
        <w:rPr>
          <w:rFonts w:ascii="Trebuchet MS" w:hAnsi="Trebuchet MS"/>
        </w:rPr>
        <w:t xml:space="preserve"> del 2021, también respecto de Carabineros de Chile, </w:t>
      </w:r>
      <w:r>
        <w:rPr>
          <w:rFonts w:ascii="Trebuchet MS" w:hAnsi="Trebuchet MS"/>
          <w:lang w:val="es-ES"/>
        </w:rPr>
        <w:t xml:space="preserve">la Corte Suprema de </w:t>
      </w:r>
      <w:r w:rsidR="00617EB6">
        <w:rPr>
          <w:rFonts w:ascii="Trebuchet MS" w:hAnsi="Trebuchet MS"/>
          <w:lang w:val="es-ES"/>
        </w:rPr>
        <w:t>Justicia condenó</w:t>
      </w:r>
      <w:r>
        <w:rPr>
          <w:rFonts w:ascii="Trebuchet MS" w:hAnsi="Trebuchet MS"/>
          <w:lang w:val="es-ES"/>
        </w:rPr>
        <w:t xml:space="preserve"> </w:t>
      </w:r>
      <w:r w:rsidR="00617EB6">
        <w:rPr>
          <w:rFonts w:ascii="Trebuchet MS" w:hAnsi="Trebuchet MS"/>
          <w:lang w:val="es-ES"/>
        </w:rPr>
        <w:t>al Estado</w:t>
      </w:r>
      <w:r>
        <w:rPr>
          <w:rFonts w:ascii="Trebuchet MS" w:hAnsi="Trebuchet MS"/>
          <w:lang w:val="es-ES"/>
        </w:rPr>
        <w:t xml:space="preserve"> a pagar los perjuicios ocasionados a la familia Luchsinger Mackay por la muerte de sus padres. La Corte determinó que “fue decisivo en el resultado, el que las Fuerzas de Seguridad y de Orden </w:t>
      </w:r>
      <w:r w:rsidRPr="00EA4D46">
        <w:rPr>
          <w:rFonts w:ascii="Trebuchet MS" w:hAnsi="Trebuchet MS"/>
          <w:u w:val="single"/>
          <w:lang w:val="es-ES"/>
        </w:rPr>
        <w:t>no cumplieran con su deber de garantes</w:t>
      </w:r>
      <w:r>
        <w:rPr>
          <w:rFonts w:ascii="Trebuchet MS" w:hAnsi="Trebuchet MS"/>
          <w:lang w:val="es-ES"/>
        </w:rPr>
        <w:t xml:space="preserve">, tanto respecto a su posición de control de la fuente de peligro que le era conocida y también previsible, como frente a los bienes jurídicos que se encontraban en la obligación de defender. Por cuanto, tratándose de la responsabilidad por falta de servicio, se debe responder por tener dentro de su ámbito de competencia deberes de seguridad o de protección frente a determinados bienes jurídicos, </w:t>
      </w:r>
      <w:r>
        <w:rPr>
          <w:rFonts w:ascii="Trebuchet MS" w:hAnsi="Trebuchet MS"/>
        </w:rPr>
        <w:t>siendo incidental precisar si se cometió mediante omisión del deber de seguridad para la debida protección de los bienes jurídicos indisponibles e irrenunciables de que eran garantes, o atendida la insuficiente acción de resguardo que como garantes se encontraban obligadas a hacer”.</w:t>
      </w:r>
      <w:r>
        <w:rPr>
          <w:rStyle w:val="Refdenotaalpie"/>
          <w:rFonts w:ascii="Trebuchet MS" w:hAnsi="Trebuchet MS"/>
        </w:rPr>
        <w:footnoteReference w:id="56"/>
      </w:r>
      <w:r>
        <w:rPr>
          <w:rFonts w:ascii="Trebuchet MS" w:hAnsi="Trebuchet MS"/>
          <w:lang w:val="es-ES"/>
        </w:rPr>
        <w:t xml:space="preserve"> </w:t>
      </w:r>
    </w:p>
    <w:p w14:paraId="0E97D8CF" w14:textId="74A13431" w:rsidR="00AE062B" w:rsidRPr="00707038" w:rsidRDefault="00057A24" w:rsidP="00AE062B">
      <w:pPr>
        <w:shd w:val="clear" w:color="auto" w:fill="FFFFFF"/>
        <w:spacing w:after="0" w:line="240" w:lineRule="auto"/>
        <w:jc w:val="both"/>
        <w:rPr>
          <w:rFonts w:ascii="Trebuchet MS" w:hAnsi="Trebuchet MS"/>
          <w:u w:val="single"/>
        </w:rPr>
      </w:pPr>
      <w:r w:rsidRPr="0079028B">
        <w:rPr>
          <w:rFonts w:ascii="Trebuchet MS" w:hAnsi="Trebuchet MS"/>
        </w:rPr>
        <w:t xml:space="preserve">Atendidos los criterios jurisprudenciales anteriores, </w:t>
      </w:r>
      <w:r w:rsidRPr="00D132B2">
        <w:rPr>
          <w:rFonts w:ascii="Trebuchet MS" w:hAnsi="Trebuchet MS"/>
          <w:u w:val="single"/>
        </w:rPr>
        <w:t>el proyecto de ley propone incorporar un artículo</w:t>
      </w:r>
      <w:r w:rsidR="005151CC" w:rsidRPr="00D132B2">
        <w:rPr>
          <w:rFonts w:ascii="Trebuchet MS" w:hAnsi="Trebuchet MS"/>
          <w:u w:val="single"/>
        </w:rPr>
        <w:t xml:space="preserve"> 14 bis </w:t>
      </w:r>
      <w:r w:rsidR="0079028B" w:rsidRPr="00D132B2">
        <w:rPr>
          <w:rFonts w:ascii="Trebuchet MS" w:hAnsi="Trebuchet MS"/>
          <w:u w:val="single"/>
        </w:rPr>
        <w:t xml:space="preserve">que </w:t>
      </w:r>
      <w:r w:rsidR="00B06FF8" w:rsidRPr="00D132B2">
        <w:rPr>
          <w:rFonts w:ascii="Trebuchet MS" w:hAnsi="Trebuchet MS"/>
          <w:u w:val="single"/>
        </w:rPr>
        <w:t xml:space="preserve">, </w:t>
      </w:r>
      <w:r w:rsidR="0079028B" w:rsidRPr="00D132B2">
        <w:rPr>
          <w:rFonts w:ascii="Trebuchet MS" w:hAnsi="Trebuchet MS"/>
          <w:u w:val="single"/>
        </w:rPr>
        <w:t>en su inciso primero</w:t>
      </w:r>
      <w:r w:rsidR="00B06FF8" w:rsidRPr="00D132B2">
        <w:rPr>
          <w:rFonts w:ascii="Trebuchet MS" w:hAnsi="Trebuchet MS"/>
          <w:u w:val="single"/>
        </w:rPr>
        <w:t xml:space="preserve">, </w:t>
      </w:r>
      <w:r w:rsidR="0079028B" w:rsidRPr="00D132B2">
        <w:rPr>
          <w:rFonts w:ascii="Trebuchet MS" w:hAnsi="Trebuchet MS"/>
          <w:u w:val="single"/>
        </w:rPr>
        <w:t xml:space="preserve"> </w:t>
      </w:r>
      <w:r w:rsidR="005151CC" w:rsidRPr="00D132B2">
        <w:rPr>
          <w:rFonts w:ascii="Trebuchet MS" w:hAnsi="Trebuchet MS"/>
          <w:u w:val="single"/>
        </w:rPr>
        <w:t>estable</w:t>
      </w:r>
      <w:r w:rsidR="00B06FF8" w:rsidRPr="00D132B2">
        <w:rPr>
          <w:rFonts w:ascii="Trebuchet MS" w:hAnsi="Trebuchet MS"/>
          <w:u w:val="single"/>
        </w:rPr>
        <w:t>ce</w:t>
      </w:r>
      <w:r w:rsidR="00824FCF" w:rsidRPr="00D132B2">
        <w:rPr>
          <w:rFonts w:ascii="Trebuchet MS" w:hAnsi="Trebuchet MS"/>
          <w:u w:val="single"/>
        </w:rPr>
        <w:t xml:space="preserve"> como concepto general  de falta de servicio “la actuación ilegítima de la Administración”, </w:t>
      </w:r>
      <w:r w:rsidR="00462490" w:rsidRPr="00D132B2">
        <w:rPr>
          <w:rFonts w:ascii="Trebuchet MS" w:hAnsi="Trebuchet MS"/>
          <w:u w:val="single"/>
        </w:rPr>
        <w:t xml:space="preserve">a la vez que, </w:t>
      </w:r>
      <w:r w:rsidR="00824FCF" w:rsidRPr="00D132B2">
        <w:rPr>
          <w:rFonts w:ascii="Trebuchet MS" w:hAnsi="Trebuchet MS"/>
          <w:u w:val="single"/>
        </w:rPr>
        <w:t xml:space="preserve"> precise como hipótesis especificas en las que ésta se produce las siguientes </w:t>
      </w:r>
      <w:r w:rsidR="00FB556D" w:rsidRPr="00D132B2">
        <w:rPr>
          <w:rFonts w:ascii="Trebuchet MS" w:hAnsi="Trebuchet MS"/>
          <w:u w:val="single"/>
        </w:rPr>
        <w:t>: a) que el Servicio no actuó, debiendo hacerlo; b) que actuó, pero de forma</w:t>
      </w:r>
      <w:r w:rsidR="00B06FF8" w:rsidRPr="00D132B2">
        <w:rPr>
          <w:rFonts w:ascii="Trebuchet MS" w:hAnsi="Trebuchet MS"/>
          <w:u w:val="single"/>
        </w:rPr>
        <w:t xml:space="preserve"> </w:t>
      </w:r>
      <w:r w:rsidR="00F33C65" w:rsidRPr="00D132B2">
        <w:rPr>
          <w:rFonts w:ascii="Trebuchet MS" w:hAnsi="Trebuchet MS"/>
          <w:u w:val="single"/>
        </w:rPr>
        <w:t>irregular</w:t>
      </w:r>
      <w:r w:rsidR="00FB556D" w:rsidRPr="00D132B2">
        <w:rPr>
          <w:rFonts w:ascii="Trebuchet MS" w:hAnsi="Trebuchet MS"/>
          <w:u w:val="single"/>
        </w:rPr>
        <w:t xml:space="preserve"> , es decir, fuera del estándar </w:t>
      </w:r>
      <w:r w:rsidR="00707038">
        <w:rPr>
          <w:rFonts w:ascii="Trebuchet MS" w:hAnsi="Trebuchet MS"/>
          <w:u w:val="single"/>
        </w:rPr>
        <w:t>funcionamiento</w:t>
      </w:r>
      <w:r w:rsidR="00707038" w:rsidRPr="00D132B2">
        <w:rPr>
          <w:rFonts w:ascii="Trebuchet MS" w:hAnsi="Trebuchet MS"/>
          <w:u w:val="single"/>
        </w:rPr>
        <w:t xml:space="preserve"> </w:t>
      </w:r>
      <w:r w:rsidR="00FB556D" w:rsidRPr="00D132B2">
        <w:rPr>
          <w:rFonts w:ascii="Trebuchet MS" w:hAnsi="Trebuchet MS"/>
          <w:u w:val="single"/>
        </w:rPr>
        <w:t xml:space="preserve">medio, común </w:t>
      </w:r>
      <w:r w:rsidR="009101B1">
        <w:rPr>
          <w:rFonts w:ascii="Trebuchet MS" w:hAnsi="Trebuchet MS"/>
          <w:u w:val="single"/>
        </w:rPr>
        <w:t xml:space="preserve">u </w:t>
      </w:r>
      <w:r w:rsidR="00FB556D" w:rsidRPr="00D132B2">
        <w:rPr>
          <w:rFonts w:ascii="Trebuchet MS" w:hAnsi="Trebuchet MS"/>
          <w:u w:val="single"/>
        </w:rPr>
        <w:t>ordinario</w:t>
      </w:r>
      <w:r w:rsidR="009101B1">
        <w:rPr>
          <w:rFonts w:ascii="Trebuchet MS" w:hAnsi="Trebuchet MS"/>
          <w:u w:val="single"/>
        </w:rPr>
        <w:t xml:space="preserve"> </w:t>
      </w:r>
      <w:r w:rsidR="00FB556D" w:rsidRPr="00D132B2">
        <w:rPr>
          <w:rFonts w:ascii="Trebuchet MS" w:hAnsi="Trebuchet MS"/>
          <w:u w:val="single"/>
        </w:rPr>
        <w:t>exigible</w:t>
      </w:r>
      <w:r w:rsidR="00707038">
        <w:rPr>
          <w:rFonts w:ascii="Trebuchet MS" w:hAnsi="Trebuchet MS"/>
          <w:u w:val="single"/>
        </w:rPr>
        <w:t xml:space="preserve"> </w:t>
      </w:r>
      <w:r w:rsidR="00FB556D" w:rsidRPr="00D132B2">
        <w:rPr>
          <w:rFonts w:ascii="Trebuchet MS" w:hAnsi="Trebuchet MS"/>
          <w:u w:val="single"/>
        </w:rPr>
        <w:t>a un servicio moderno</w:t>
      </w:r>
      <w:r w:rsidR="00D91421" w:rsidRPr="00D132B2">
        <w:rPr>
          <w:rFonts w:ascii="Trebuchet MS" w:hAnsi="Trebuchet MS"/>
          <w:u w:val="single"/>
        </w:rPr>
        <w:t xml:space="preserve">; </w:t>
      </w:r>
      <w:r w:rsidR="00F33C65" w:rsidRPr="00D132B2">
        <w:rPr>
          <w:rFonts w:ascii="Trebuchet MS" w:hAnsi="Trebuchet MS"/>
          <w:u w:val="single"/>
        </w:rPr>
        <w:t xml:space="preserve">o </w:t>
      </w:r>
      <w:r w:rsidR="00D91421" w:rsidRPr="00D132B2">
        <w:rPr>
          <w:rFonts w:ascii="Trebuchet MS" w:hAnsi="Trebuchet MS"/>
          <w:u w:val="single"/>
        </w:rPr>
        <w:t>c) qu</w:t>
      </w:r>
      <w:r w:rsidR="00FB556D" w:rsidRPr="00D132B2">
        <w:rPr>
          <w:rFonts w:ascii="Trebuchet MS" w:hAnsi="Trebuchet MS"/>
          <w:u w:val="single"/>
        </w:rPr>
        <w:t xml:space="preserve">e </w:t>
      </w:r>
      <w:r w:rsidR="00707038">
        <w:rPr>
          <w:rFonts w:ascii="Trebuchet MS" w:hAnsi="Trebuchet MS"/>
          <w:u w:val="single"/>
        </w:rPr>
        <w:t xml:space="preserve"> </w:t>
      </w:r>
      <w:r w:rsidR="00FB556D" w:rsidRPr="00D132B2">
        <w:rPr>
          <w:rFonts w:ascii="Trebuchet MS" w:hAnsi="Trebuchet MS"/>
          <w:u w:val="single"/>
        </w:rPr>
        <w:t>actuó tardíamente.</w:t>
      </w:r>
    </w:p>
    <w:p w14:paraId="2E00BA6B" w14:textId="77777777" w:rsidR="00AE062B" w:rsidRPr="008074B2" w:rsidRDefault="00AE062B" w:rsidP="00AE062B">
      <w:pPr>
        <w:shd w:val="clear" w:color="auto" w:fill="FFFFFF"/>
        <w:spacing w:after="0" w:line="240" w:lineRule="auto"/>
        <w:jc w:val="both"/>
        <w:rPr>
          <w:rFonts w:ascii="Trebuchet MS" w:hAnsi="Trebuchet MS"/>
          <w:sz w:val="40"/>
          <w:szCs w:val="40"/>
        </w:rPr>
      </w:pPr>
    </w:p>
    <w:p w14:paraId="4BBFA57C" w14:textId="5DDF36DD" w:rsidR="0079028B" w:rsidRDefault="001D00C0" w:rsidP="0079028B">
      <w:pPr>
        <w:pStyle w:val="Prrafodelista"/>
        <w:numPr>
          <w:ilvl w:val="0"/>
          <w:numId w:val="26"/>
        </w:numPr>
        <w:spacing w:line="252" w:lineRule="auto"/>
        <w:ind w:left="1134" w:hanging="1134"/>
        <w:jc w:val="both"/>
        <w:rPr>
          <w:rFonts w:ascii="Trebuchet MS" w:hAnsi="Trebuchet MS"/>
        </w:rPr>
      </w:pPr>
      <w:r w:rsidRPr="001D00C0">
        <w:rPr>
          <w:rFonts w:ascii="Trebuchet MS" w:hAnsi="Trebuchet MS"/>
        </w:rPr>
        <w:t>LOS ESTÁNDARES OBJETIVOS A PARTIR DE LOS CUALES SE EVALUARÁ POR EL JUZGADOR LA EXISTENCIA O NO DE UNA FALTA DE SERVICIO.</w:t>
      </w:r>
    </w:p>
    <w:p w14:paraId="5748AC74" w14:textId="77777777" w:rsidR="00C914E0" w:rsidRPr="001D00C0" w:rsidRDefault="00C914E0" w:rsidP="00C914E0">
      <w:pPr>
        <w:pStyle w:val="Prrafodelista"/>
        <w:spacing w:line="252" w:lineRule="auto"/>
        <w:ind w:left="1134"/>
        <w:jc w:val="both"/>
        <w:rPr>
          <w:rFonts w:ascii="Trebuchet MS" w:hAnsi="Trebuchet MS"/>
        </w:rPr>
      </w:pPr>
    </w:p>
    <w:p w14:paraId="0EF63233" w14:textId="7EC19201" w:rsidR="00462490" w:rsidRDefault="00462490" w:rsidP="00462490">
      <w:pPr>
        <w:jc w:val="both"/>
        <w:rPr>
          <w:rFonts w:ascii="Trebuchet MS" w:hAnsi="Trebuchet MS"/>
          <w:lang w:val="es-ES"/>
        </w:rPr>
      </w:pPr>
      <w:r>
        <w:rPr>
          <w:rFonts w:ascii="Trebuchet MS" w:hAnsi="Trebuchet MS"/>
          <w:lang w:val="es-ES"/>
        </w:rPr>
        <w:t xml:space="preserve">Si </w:t>
      </w:r>
      <w:r w:rsidRPr="00462490">
        <w:rPr>
          <w:rFonts w:ascii="Trebuchet MS" w:hAnsi="Trebuchet MS"/>
          <w:lang w:val="es-ES"/>
        </w:rPr>
        <w:t>la falta de servicio</w:t>
      </w:r>
      <w:r w:rsidR="00EA7A57">
        <w:rPr>
          <w:rFonts w:ascii="Trebuchet MS" w:hAnsi="Trebuchet MS"/>
          <w:lang w:val="es-ES"/>
        </w:rPr>
        <w:t xml:space="preserve"> </w:t>
      </w:r>
      <w:r w:rsidRPr="00462490">
        <w:rPr>
          <w:rFonts w:ascii="Trebuchet MS" w:hAnsi="Trebuchet MS"/>
          <w:lang w:val="es-ES"/>
        </w:rPr>
        <w:t xml:space="preserve">se entiende como un funcionamiento </w:t>
      </w:r>
      <w:r w:rsidR="00F33C65">
        <w:rPr>
          <w:rFonts w:ascii="Trebuchet MS" w:hAnsi="Trebuchet MS"/>
          <w:lang w:val="es-ES"/>
        </w:rPr>
        <w:t xml:space="preserve">ilegítimo </w:t>
      </w:r>
      <w:r w:rsidRPr="00462490">
        <w:rPr>
          <w:rFonts w:ascii="Trebuchet MS" w:hAnsi="Trebuchet MS"/>
          <w:lang w:val="es-ES"/>
        </w:rPr>
        <w:t>del servicio u órgano público, en que su actividad se desarrolla objetivamente en forma contraria al ordenamiento jurídico</w:t>
      </w:r>
      <w:r w:rsidR="00EA7A57">
        <w:rPr>
          <w:rFonts w:ascii="Trebuchet MS" w:hAnsi="Trebuchet MS"/>
          <w:lang w:val="es-ES"/>
        </w:rPr>
        <w:t xml:space="preserve">, </w:t>
      </w:r>
      <w:r w:rsidRPr="00462490">
        <w:rPr>
          <w:rFonts w:ascii="Trebuchet MS" w:hAnsi="Trebuchet MS"/>
          <w:lang w:val="es-ES"/>
        </w:rPr>
        <w:t>para establecer la responsabilidad estatal se debe realizar un juicio de carácter comparativo-objetivo entre la actuación concreta del servicio público y un estándar normativo exigido, naciendo la obligación reparatoria estatal en la medida que no se hubiera satisfecho dicho estándar y con ello se hubiera producido un daño efectivo a un tercero.</w:t>
      </w:r>
    </w:p>
    <w:p w14:paraId="67371FC6" w14:textId="5B2E80F7" w:rsidR="00DB78C4" w:rsidRPr="00DB78C4" w:rsidRDefault="00DB78C4" w:rsidP="00DB78C4">
      <w:pPr>
        <w:jc w:val="both"/>
        <w:rPr>
          <w:rFonts w:ascii="Trebuchet MS" w:hAnsi="Trebuchet MS"/>
          <w:lang w:val="es-ES"/>
        </w:rPr>
      </w:pPr>
      <w:r>
        <w:rPr>
          <w:rFonts w:ascii="Trebuchet MS" w:hAnsi="Trebuchet MS"/>
          <w:lang w:val="es-ES"/>
        </w:rPr>
        <w:t xml:space="preserve">Por lo tanto, </w:t>
      </w:r>
      <w:r w:rsidRPr="00DB78C4">
        <w:rPr>
          <w:rFonts w:ascii="Trebuchet MS" w:hAnsi="Trebuchet MS"/>
          <w:lang w:val="es-ES"/>
        </w:rPr>
        <w:t xml:space="preserve">es necesario fijar estándares de comportamiento respecto de los que se deben comparar los hechos concretos acaecidos en una causa. </w:t>
      </w:r>
    </w:p>
    <w:p w14:paraId="2A4DB3A8" w14:textId="406F0C52" w:rsidR="00DB78C4" w:rsidRPr="00DB78C4" w:rsidRDefault="00A56483" w:rsidP="00DB78C4">
      <w:pPr>
        <w:jc w:val="both"/>
        <w:rPr>
          <w:rFonts w:ascii="Trebuchet MS" w:hAnsi="Trebuchet MS"/>
          <w:lang w:val="es-ES"/>
        </w:rPr>
      </w:pPr>
      <w:r>
        <w:rPr>
          <w:rFonts w:ascii="Trebuchet MS" w:hAnsi="Trebuchet MS"/>
          <w:lang w:val="es-ES"/>
        </w:rPr>
        <w:t>E</w:t>
      </w:r>
      <w:r w:rsidR="00DB78C4" w:rsidRPr="00DB78C4">
        <w:rPr>
          <w:rFonts w:ascii="Trebuchet MS" w:hAnsi="Trebuchet MS"/>
          <w:lang w:val="es-ES"/>
        </w:rPr>
        <w:t>l Ministro</w:t>
      </w:r>
      <w:r w:rsidR="00DB78C4">
        <w:rPr>
          <w:rFonts w:ascii="Trebuchet MS" w:hAnsi="Trebuchet MS"/>
          <w:lang w:val="es-ES"/>
        </w:rPr>
        <w:t xml:space="preserve"> </w:t>
      </w:r>
      <w:r w:rsidR="00DB78C4" w:rsidRPr="00DB78C4">
        <w:rPr>
          <w:rFonts w:ascii="Trebuchet MS" w:hAnsi="Trebuchet MS"/>
          <w:lang w:val="es-ES"/>
        </w:rPr>
        <w:t>Muñoz</w:t>
      </w:r>
      <w:r w:rsidR="00DB78C4">
        <w:rPr>
          <w:rFonts w:ascii="Trebuchet MS" w:hAnsi="Trebuchet MS"/>
          <w:lang w:val="es-ES"/>
        </w:rPr>
        <w:t>,</w:t>
      </w:r>
      <w:r w:rsidR="00DB78C4" w:rsidRPr="00DB78C4">
        <w:rPr>
          <w:rFonts w:ascii="Trebuchet MS" w:hAnsi="Trebuchet MS"/>
          <w:lang w:val="es-ES"/>
        </w:rPr>
        <w:t xml:space="preserve"> en una prevención </w:t>
      </w:r>
      <w:r w:rsidR="00773C86">
        <w:rPr>
          <w:rFonts w:ascii="Trebuchet MS" w:hAnsi="Trebuchet MS"/>
          <w:lang w:val="es-ES"/>
        </w:rPr>
        <w:t xml:space="preserve">del 2018 , que </w:t>
      </w:r>
      <w:r w:rsidR="00DB78C4" w:rsidRPr="00DB78C4">
        <w:rPr>
          <w:rFonts w:ascii="Trebuchet MS" w:hAnsi="Trebuchet MS"/>
          <w:lang w:val="es-ES"/>
        </w:rPr>
        <w:t xml:space="preserve">alude a los patrones de comparación de normalidad necesarios para situar la apreciación del factor de imputabilidad en concreto y no en abstracto, señaló que “(…) </w:t>
      </w:r>
      <w:r w:rsidR="00773C86">
        <w:rPr>
          <w:rFonts w:ascii="Trebuchet MS" w:hAnsi="Trebuchet MS"/>
          <w:lang w:val="es-ES"/>
        </w:rPr>
        <w:t>c</w:t>
      </w:r>
      <w:r w:rsidR="00DB78C4" w:rsidRPr="00DB78C4">
        <w:rPr>
          <w:rFonts w:ascii="Trebuchet MS" w:hAnsi="Trebuchet MS"/>
          <w:lang w:val="es-ES"/>
        </w:rPr>
        <w:t>uando la Administración actuó, se investigará o mejor dicho se comparará ese actuar con el exigido a un servicio moderno, conforme a los recursos técnicos y humanos con que debe contar”.</w:t>
      </w:r>
      <w:r>
        <w:rPr>
          <w:rStyle w:val="Refdenotaalpie"/>
          <w:rFonts w:ascii="Trebuchet MS" w:hAnsi="Trebuchet MS"/>
          <w:lang w:val="es-ES"/>
        </w:rPr>
        <w:footnoteReference w:id="57"/>
      </w:r>
      <w:r w:rsidR="00DB78C4" w:rsidRPr="00DB78C4">
        <w:rPr>
          <w:rFonts w:ascii="Trebuchet MS" w:hAnsi="Trebuchet MS"/>
          <w:lang w:val="es-ES"/>
        </w:rPr>
        <w:t xml:space="preserve"> </w:t>
      </w:r>
      <w:r>
        <w:rPr>
          <w:rFonts w:ascii="Trebuchet MS" w:hAnsi="Trebuchet MS"/>
          <w:lang w:val="es-ES"/>
        </w:rPr>
        <w:t xml:space="preserve">En el mismo sentido, </w:t>
      </w:r>
      <w:r w:rsidRPr="00462490">
        <w:rPr>
          <w:rFonts w:ascii="Trebuchet MS" w:hAnsi="Trebuchet MS"/>
          <w:lang w:val="es-ES"/>
        </w:rPr>
        <w:t>Cordero  señala que  «el juicio de responsabilidad en realidad atiende al establecimiento de la mala organización o el funcionamiento defectuoso del servicio, apreciando esas nociones en forma objetiva por referencia a lo que se está en derecho de exigir de un servicio público moderno, es decir, aquello que debe ser su comportamiento normal».</w:t>
      </w:r>
      <w:r>
        <w:rPr>
          <w:rStyle w:val="Refdenotaalpie"/>
          <w:rFonts w:ascii="Trebuchet MS" w:hAnsi="Trebuchet MS"/>
          <w:lang w:val="es-ES"/>
        </w:rPr>
        <w:footnoteReference w:id="58"/>
      </w:r>
    </w:p>
    <w:p w14:paraId="60DF2486" w14:textId="15B2A478" w:rsidR="00C05000" w:rsidRDefault="00A56483" w:rsidP="00A56483">
      <w:pPr>
        <w:jc w:val="both"/>
        <w:rPr>
          <w:rFonts w:ascii="Trebuchet MS" w:hAnsi="Trebuchet MS"/>
          <w:lang w:val="es-ES"/>
        </w:rPr>
      </w:pPr>
      <w:r w:rsidRPr="00462490">
        <w:rPr>
          <w:rFonts w:ascii="Trebuchet MS" w:hAnsi="Trebuchet MS"/>
          <w:lang w:val="es-ES"/>
        </w:rPr>
        <w:t>Ahora bien, este comportamiento normal o exigible al servicio público está conformado por el cumplimiento de las obligaciones o estándares de diligencia exigibles a la Administración del Estado, los cuales están determinados en cada caso por el legislador, la propia autoridad administrativa en reglas generales o la ciencia o arte de la actividad material concreta desarrollada por el órgano púbico.</w:t>
      </w:r>
      <w:r w:rsidRPr="00A56483">
        <w:rPr>
          <w:rFonts w:ascii="Trebuchet MS" w:hAnsi="Trebuchet MS"/>
          <w:lang w:val="es-ES"/>
        </w:rPr>
        <w:t xml:space="preserve"> </w:t>
      </w:r>
      <w:r w:rsidR="00617EB6">
        <w:rPr>
          <w:rFonts w:ascii="Trebuchet MS" w:hAnsi="Trebuchet MS"/>
          <w:lang w:val="es-ES"/>
        </w:rPr>
        <w:t>Señala la</w:t>
      </w:r>
      <w:r>
        <w:rPr>
          <w:rFonts w:ascii="Trebuchet MS" w:hAnsi="Trebuchet MS"/>
          <w:lang w:val="es-ES"/>
        </w:rPr>
        <w:t xml:space="preserve"> Corte Suprema “surge la apreciación normativa de la actuación, en que el parámetro de control será la Constitución, la ley, los reglamentos, circulares, protocolos, guías de actuación, recomendaciones, directrices, lex artis y principios”. </w:t>
      </w:r>
      <w:r>
        <w:rPr>
          <w:rStyle w:val="Refdenotaalpie"/>
          <w:rFonts w:ascii="Trebuchet MS" w:hAnsi="Trebuchet MS"/>
          <w:lang w:val="es-ES"/>
        </w:rPr>
        <w:footnoteReference w:id="59"/>
      </w:r>
      <w:r>
        <w:rPr>
          <w:rFonts w:ascii="Trebuchet MS" w:hAnsi="Trebuchet MS"/>
          <w:lang w:val="es-ES"/>
        </w:rPr>
        <w:t xml:space="preserve"> Dado que</w:t>
      </w:r>
      <w:r w:rsidRPr="00462490">
        <w:rPr>
          <w:rFonts w:ascii="Trebuchet MS" w:hAnsi="Trebuchet MS"/>
          <w:lang w:val="es-ES"/>
        </w:rPr>
        <w:t>, en muchas ocasiones estos estándares no están determinados expresamente</w:t>
      </w:r>
      <w:r w:rsidR="00773C86">
        <w:rPr>
          <w:rFonts w:ascii="Trebuchet MS" w:hAnsi="Trebuchet MS"/>
          <w:lang w:val="es-ES"/>
        </w:rPr>
        <w:t xml:space="preserve"> por la ley</w:t>
      </w:r>
      <w:r w:rsidRPr="00462490">
        <w:rPr>
          <w:rFonts w:ascii="Trebuchet MS" w:hAnsi="Trebuchet MS"/>
          <w:lang w:val="es-ES"/>
        </w:rPr>
        <w:t>, corresponde al juez construirlos con criterio de razonabilidad, de manera objetiva y abstracta, o bien de manera subjetiva, considerando las condiciones en que el servicio funciona</w:t>
      </w:r>
      <w:r w:rsidR="00C05000">
        <w:rPr>
          <w:rStyle w:val="Refdenotaalpie"/>
          <w:rFonts w:ascii="Trebuchet MS" w:hAnsi="Trebuchet MS"/>
          <w:lang w:val="es-ES"/>
        </w:rPr>
        <w:footnoteReference w:id="60"/>
      </w:r>
      <w:r w:rsidR="00C05000">
        <w:rPr>
          <w:rFonts w:ascii="Trebuchet MS" w:hAnsi="Trebuchet MS"/>
          <w:lang w:val="es-ES"/>
        </w:rPr>
        <w:t xml:space="preserve">.                </w:t>
      </w:r>
    </w:p>
    <w:p w14:paraId="56E276C4" w14:textId="72C16929" w:rsidR="00A56483" w:rsidRDefault="00FA496A" w:rsidP="001131AE">
      <w:pPr>
        <w:jc w:val="both"/>
        <w:rPr>
          <w:rFonts w:ascii="Trebuchet MS" w:hAnsi="Trebuchet MS"/>
          <w:lang w:val="es-ES"/>
        </w:rPr>
      </w:pPr>
      <w:r>
        <w:rPr>
          <w:rFonts w:ascii="Trebuchet MS" w:hAnsi="Trebuchet MS"/>
          <w:lang w:val="es-ES"/>
        </w:rPr>
        <w:t>Adicionalmente , y dado que la apreciación del factor de imputabilidad ha de hacerse  en concreto y no en abstracto, la Corte ha resuelto que “t</w:t>
      </w:r>
      <w:r w:rsidR="00A56483">
        <w:rPr>
          <w:rFonts w:ascii="Trebuchet MS" w:hAnsi="Trebuchet MS"/>
          <w:lang w:val="es-ES"/>
        </w:rPr>
        <w:t>ambi</w:t>
      </w:r>
      <w:r w:rsidR="00773C86">
        <w:rPr>
          <w:rFonts w:ascii="Trebuchet MS" w:hAnsi="Trebuchet MS"/>
          <w:lang w:val="es-ES"/>
        </w:rPr>
        <w:t>é</w:t>
      </w:r>
      <w:r w:rsidR="00A56483">
        <w:rPr>
          <w:rFonts w:ascii="Trebuchet MS" w:hAnsi="Trebuchet MS"/>
          <w:lang w:val="es-ES"/>
        </w:rPr>
        <w:t>n en esta tarea puede considerarse la simple previsibilidad que pueda ocasionarse un daño conforme a las circunstancias de tiempo y lugar, medios empleados y fines que se han tenido presente al actuar</w:t>
      </w:r>
      <w:r>
        <w:rPr>
          <w:rFonts w:ascii="Trebuchet MS" w:hAnsi="Trebuchet MS"/>
          <w:lang w:val="es-ES"/>
        </w:rPr>
        <w:t>”</w:t>
      </w:r>
      <w:r w:rsidR="00A56483">
        <w:rPr>
          <w:rFonts w:ascii="Trebuchet MS" w:hAnsi="Trebuchet MS"/>
          <w:lang w:val="es-ES"/>
        </w:rPr>
        <w:t>.</w:t>
      </w:r>
      <w:r>
        <w:rPr>
          <w:rStyle w:val="Refdenotaalpie"/>
          <w:rFonts w:ascii="Trebuchet MS" w:hAnsi="Trebuchet MS"/>
          <w:lang w:val="es-ES"/>
        </w:rPr>
        <w:footnoteReference w:id="61"/>
      </w:r>
      <w:r w:rsidR="00223569">
        <w:rPr>
          <w:rFonts w:ascii="Trebuchet MS" w:hAnsi="Trebuchet MS"/>
          <w:lang w:val="es-ES"/>
        </w:rPr>
        <w:t xml:space="preserve"> Tal y como lo hizo en el caso </w:t>
      </w:r>
      <w:r w:rsidR="00223569" w:rsidRPr="00223569">
        <w:rPr>
          <w:rFonts w:ascii="Trebuchet MS" w:hAnsi="Trebuchet MS"/>
          <w:lang w:val="es-ES"/>
        </w:rPr>
        <w:t xml:space="preserve"> </w:t>
      </w:r>
      <w:r w:rsidR="00223569">
        <w:rPr>
          <w:rFonts w:ascii="Trebuchet MS" w:hAnsi="Trebuchet MS"/>
          <w:lang w:val="es-ES"/>
        </w:rPr>
        <w:t>Luchsinger Mackay</w:t>
      </w:r>
      <w:r w:rsidR="007142A2">
        <w:rPr>
          <w:rFonts w:ascii="Trebuchet MS" w:hAnsi="Trebuchet MS"/>
          <w:lang w:val="es-ES"/>
        </w:rPr>
        <w:t xml:space="preserve"> al señalar: “</w:t>
      </w:r>
      <w:r w:rsidR="001131AE" w:rsidRPr="001131AE">
        <w:rPr>
          <w:rFonts w:ascii="Trebuchet MS" w:hAnsi="Trebuchet MS"/>
          <w:lang w:val="es-ES"/>
        </w:rPr>
        <w:t>Que, en el caso en estudio, la</w:t>
      </w:r>
      <w:r w:rsidR="001131AE">
        <w:rPr>
          <w:rFonts w:ascii="Trebuchet MS" w:hAnsi="Trebuchet MS"/>
          <w:lang w:val="es-ES"/>
        </w:rPr>
        <w:t xml:space="preserve"> </w:t>
      </w:r>
      <w:r w:rsidR="001131AE" w:rsidRPr="001131AE">
        <w:rPr>
          <w:rFonts w:ascii="Trebuchet MS" w:hAnsi="Trebuchet MS"/>
          <w:lang w:val="es-ES"/>
        </w:rPr>
        <w:t>responsabilidad del Estado, fundada en la falta de</w:t>
      </w:r>
      <w:r w:rsidR="001131AE">
        <w:rPr>
          <w:rFonts w:ascii="Trebuchet MS" w:hAnsi="Trebuchet MS"/>
          <w:lang w:val="es-ES"/>
        </w:rPr>
        <w:t xml:space="preserve"> </w:t>
      </w:r>
      <w:r w:rsidR="001131AE" w:rsidRPr="001131AE">
        <w:rPr>
          <w:rFonts w:ascii="Trebuchet MS" w:hAnsi="Trebuchet MS"/>
          <w:lang w:val="es-ES"/>
        </w:rPr>
        <w:t>servicio, se traduce en que, no obstante, ser conocidos</w:t>
      </w:r>
      <w:r w:rsidR="001131AE">
        <w:rPr>
          <w:rFonts w:ascii="Trebuchet MS" w:hAnsi="Trebuchet MS"/>
          <w:lang w:val="es-ES"/>
        </w:rPr>
        <w:t xml:space="preserve"> </w:t>
      </w:r>
      <w:r w:rsidR="001131AE" w:rsidRPr="001131AE">
        <w:rPr>
          <w:rFonts w:ascii="Trebuchet MS" w:hAnsi="Trebuchet MS"/>
          <w:lang w:val="es-ES"/>
        </w:rPr>
        <w:t>por las autoridades de la zona, las amenazas que había</w:t>
      </w:r>
      <w:r w:rsidR="001131AE">
        <w:rPr>
          <w:rFonts w:ascii="Trebuchet MS" w:hAnsi="Trebuchet MS"/>
          <w:lang w:val="es-ES"/>
        </w:rPr>
        <w:t xml:space="preserve"> </w:t>
      </w:r>
      <w:r w:rsidR="001131AE" w:rsidRPr="001131AE">
        <w:rPr>
          <w:rFonts w:ascii="Trebuchet MS" w:hAnsi="Trebuchet MS"/>
          <w:lang w:val="es-ES"/>
        </w:rPr>
        <w:t>recibido la familia Luchsinger Mackay; teniendo en</w:t>
      </w:r>
      <w:r w:rsidR="001131AE">
        <w:rPr>
          <w:rFonts w:ascii="Trebuchet MS" w:hAnsi="Trebuchet MS"/>
          <w:lang w:val="es-ES"/>
        </w:rPr>
        <w:t xml:space="preserve"> </w:t>
      </w:r>
      <w:r w:rsidR="001131AE" w:rsidRPr="001131AE">
        <w:rPr>
          <w:rFonts w:ascii="Trebuchet MS" w:hAnsi="Trebuchet MS"/>
          <w:lang w:val="es-ES"/>
        </w:rPr>
        <w:t>cuenta, además, que el día de los hechos, se trataba dela fecha en que murió el comunero Matías Catrileo</w:t>
      </w:r>
      <w:r w:rsidR="001131AE">
        <w:rPr>
          <w:rFonts w:ascii="Trebuchet MS" w:hAnsi="Trebuchet MS"/>
          <w:lang w:val="es-ES"/>
        </w:rPr>
        <w:t xml:space="preserve"> </w:t>
      </w:r>
      <w:r w:rsidR="001131AE" w:rsidRPr="001131AE">
        <w:rPr>
          <w:rFonts w:ascii="Trebuchet MS" w:hAnsi="Trebuchet MS"/>
          <w:lang w:val="es-ES"/>
        </w:rPr>
        <w:t>Quezada, en el Fundo Santa Margarita, entonces de</w:t>
      </w:r>
      <w:r w:rsidR="001131AE">
        <w:rPr>
          <w:rFonts w:ascii="Trebuchet MS" w:hAnsi="Trebuchet MS"/>
          <w:lang w:val="es-ES"/>
        </w:rPr>
        <w:t xml:space="preserve"> </w:t>
      </w:r>
      <w:r w:rsidR="001131AE" w:rsidRPr="001131AE">
        <w:rPr>
          <w:rFonts w:ascii="Trebuchet MS" w:hAnsi="Trebuchet MS"/>
          <w:lang w:val="es-ES"/>
        </w:rPr>
        <w:t>propiedad de Jorge Luchsinger Villiger, primo hermano de</w:t>
      </w:r>
      <w:r w:rsidR="001131AE">
        <w:rPr>
          <w:rFonts w:ascii="Trebuchet MS" w:hAnsi="Trebuchet MS"/>
          <w:lang w:val="es-ES"/>
        </w:rPr>
        <w:t xml:space="preserve"> </w:t>
      </w:r>
      <w:r w:rsidR="001131AE" w:rsidRPr="001131AE">
        <w:rPr>
          <w:rFonts w:ascii="Trebuchet MS" w:hAnsi="Trebuchet MS"/>
          <w:lang w:val="es-ES"/>
        </w:rPr>
        <w:t xml:space="preserve">la víctima Werner Luchsinger Lemp. Permite colegir, </w:t>
      </w:r>
      <w:r w:rsidR="00617EB6" w:rsidRPr="001131AE">
        <w:rPr>
          <w:rFonts w:ascii="Trebuchet MS" w:hAnsi="Trebuchet MS"/>
          <w:lang w:val="es-ES"/>
        </w:rPr>
        <w:t>sin</w:t>
      </w:r>
      <w:r w:rsidR="00617EB6">
        <w:rPr>
          <w:rFonts w:ascii="Trebuchet MS" w:hAnsi="Trebuchet MS"/>
          <w:lang w:val="es-ES"/>
        </w:rPr>
        <w:t xml:space="preserve"> </w:t>
      </w:r>
      <w:r w:rsidR="00617EB6" w:rsidRPr="001131AE">
        <w:rPr>
          <w:rFonts w:ascii="Trebuchet MS" w:hAnsi="Trebuchet MS"/>
          <w:lang w:val="es-ES"/>
        </w:rPr>
        <w:t>lugar a duda</w:t>
      </w:r>
      <w:r w:rsidR="001131AE" w:rsidRPr="001131AE">
        <w:rPr>
          <w:rFonts w:ascii="Trebuchet MS" w:hAnsi="Trebuchet MS"/>
          <w:lang w:val="es-ES"/>
        </w:rPr>
        <w:t>, el ambiente de tensión que reinaba en el</w:t>
      </w:r>
      <w:r w:rsidR="001131AE">
        <w:rPr>
          <w:rFonts w:ascii="Trebuchet MS" w:hAnsi="Trebuchet MS"/>
          <w:lang w:val="es-ES"/>
        </w:rPr>
        <w:t xml:space="preserve"> </w:t>
      </w:r>
      <w:r w:rsidR="001131AE" w:rsidRPr="001131AE">
        <w:rPr>
          <w:rFonts w:ascii="Trebuchet MS" w:hAnsi="Trebuchet MS"/>
          <w:lang w:val="es-ES"/>
        </w:rPr>
        <w:t>sector y que llevó, incluso, a que existiría, como lo</w:t>
      </w:r>
      <w:r w:rsidR="001131AE">
        <w:rPr>
          <w:rFonts w:ascii="Trebuchet MS" w:hAnsi="Trebuchet MS"/>
          <w:lang w:val="es-ES"/>
        </w:rPr>
        <w:t xml:space="preserve"> </w:t>
      </w:r>
      <w:r w:rsidR="001131AE" w:rsidRPr="001131AE">
        <w:rPr>
          <w:rFonts w:ascii="Trebuchet MS" w:hAnsi="Trebuchet MS"/>
          <w:lang w:val="es-ES"/>
        </w:rPr>
        <w:t>reconoce el demandado, a un reforzamiento de la seguridad</w:t>
      </w:r>
      <w:r w:rsidR="001131AE">
        <w:rPr>
          <w:rFonts w:ascii="Trebuchet MS" w:hAnsi="Trebuchet MS"/>
          <w:lang w:val="es-ES"/>
        </w:rPr>
        <w:t xml:space="preserve"> </w:t>
      </w:r>
      <w:r w:rsidR="001131AE" w:rsidRPr="001131AE">
        <w:rPr>
          <w:rFonts w:ascii="Trebuchet MS" w:hAnsi="Trebuchet MS"/>
          <w:lang w:val="es-ES"/>
        </w:rPr>
        <w:t>en los alrededores.</w:t>
      </w:r>
      <w:r w:rsidR="00EA4D46">
        <w:rPr>
          <w:rFonts w:ascii="Trebuchet MS" w:hAnsi="Trebuchet MS"/>
          <w:lang w:val="es-ES"/>
        </w:rPr>
        <w:t xml:space="preserve"> </w:t>
      </w:r>
      <w:r w:rsidR="001131AE" w:rsidRPr="001131AE">
        <w:rPr>
          <w:rFonts w:ascii="Trebuchet MS" w:hAnsi="Trebuchet MS"/>
          <w:lang w:val="es-ES"/>
        </w:rPr>
        <w:t>Por consiguiente, en esas particulares</w:t>
      </w:r>
      <w:r w:rsidR="001131AE">
        <w:rPr>
          <w:rFonts w:ascii="Trebuchet MS" w:hAnsi="Trebuchet MS"/>
          <w:lang w:val="es-ES"/>
        </w:rPr>
        <w:t xml:space="preserve"> </w:t>
      </w:r>
      <w:r w:rsidR="001131AE" w:rsidRPr="001131AE">
        <w:rPr>
          <w:rFonts w:ascii="Trebuchet MS" w:hAnsi="Trebuchet MS"/>
          <w:lang w:val="es-ES"/>
        </w:rPr>
        <w:t>circunstancias, le era exigible a las Fuerzas de Orden y</w:t>
      </w:r>
      <w:r w:rsidR="001131AE">
        <w:rPr>
          <w:rFonts w:ascii="Trebuchet MS" w:hAnsi="Trebuchet MS"/>
          <w:lang w:val="es-ES"/>
        </w:rPr>
        <w:t xml:space="preserve"> </w:t>
      </w:r>
      <w:r w:rsidR="001131AE" w:rsidRPr="001131AE">
        <w:rPr>
          <w:rFonts w:ascii="Trebuchet MS" w:hAnsi="Trebuchet MS"/>
          <w:lang w:val="es-ES"/>
        </w:rPr>
        <w:t>Seguridad, para ese día, respecto de los Lushinge</w:t>
      </w:r>
      <w:r w:rsidR="001131AE">
        <w:rPr>
          <w:rFonts w:ascii="Trebuchet MS" w:hAnsi="Trebuchet MS"/>
          <w:lang w:val="es-ES"/>
        </w:rPr>
        <w:t xml:space="preserve">r </w:t>
      </w:r>
      <w:r w:rsidR="001131AE" w:rsidRPr="001131AE">
        <w:rPr>
          <w:rFonts w:ascii="Trebuchet MS" w:hAnsi="Trebuchet MS"/>
          <w:lang w:val="es-ES"/>
        </w:rPr>
        <w:t>Mackay, la obligación de considerar el inmueble de éstos</w:t>
      </w:r>
      <w:r w:rsidR="001131AE">
        <w:rPr>
          <w:rFonts w:ascii="Trebuchet MS" w:hAnsi="Trebuchet MS"/>
          <w:lang w:val="es-ES"/>
        </w:rPr>
        <w:t xml:space="preserve"> </w:t>
      </w:r>
      <w:r w:rsidR="001131AE" w:rsidRPr="001131AE">
        <w:rPr>
          <w:rFonts w:ascii="Trebuchet MS" w:hAnsi="Trebuchet MS"/>
          <w:lang w:val="es-ES"/>
        </w:rPr>
        <w:t>como un punto al cual se debía resguardar</w:t>
      </w:r>
      <w:r w:rsidR="0038793A">
        <w:rPr>
          <w:rFonts w:ascii="Trebuchet MS" w:hAnsi="Trebuchet MS"/>
          <w:lang w:val="es-ES"/>
        </w:rPr>
        <w:t>”</w:t>
      </w:r>
      <w:r w:rsidR="001131AE" w:rsidRPr="001131AE">
        <w:rPr>
          <w:rFonts w:ascii="Trebuchet MS" w:hAnsi="Trebuchet MS"/>
          <w:lang w:val="es-ES"/>
        </w:rPr>
        <w:t>.</w:t>
      </w:r>
      <w:r w:rsidR="0038793A">
        <w:rPr>
          <w:rStyle w:val="Refdenotaalpie"/>
          <w:rFonts w:ascii="Trebuchet MS" w:hAnsi="Trebuchet MS"/>
          <w:lang w:val="es-ES"/>
        </w:rPr>
        <w:footnoteReference w:id="62"/>
      </w:r>
    </w:p>
    <w:p w14:paraId="48A3D461" w14:textId="1117CC40" w:rsidR="00B06FF8" w:rsidRDefault="00FA496A" w:rsidP="0079028B">
      <w:pPr>
        <w:jc w:val="both"/>
        <w:rPr>
          <w:rFonts w:ascii="Trebuchet MS" w:hAnsi="Trebuchet MS"/>
          <w:lang w:val="es-ES"/>
        </w:rPr>
      </w:pPr>
      <w:r>
        <w:rPr>
          <w:rFonts w:ascii="Trebuchet MS" w:hAnsi="Trebuchet MS"/>
          <w:lang w:val="es-ES"/>
        </w:rPr>
        <w:t>En el mismo sentido, dado que se trata de un examen que ha de r</w:t>
      </w:r>
      <w:r w:rsidR="002702A1">
        <w:rPr>
          <w:rFonts w:ascii="Trebuchet MS" w:hAnsi="Trebuchet MS"/>
          <w:lang w:val="es-ES"/>
        </w:rPr>
        <w:t>ea</w:t>
      </w:r>
      <w:r>
        <w:rPr>
          <w:rFonts w:ascii="Trebuchet MS" w:hAnsi="Trebuchet MS"/>
          <w:lang w:val="es-ES"/>
        </w:rPr>
        <w:t xml:space="preserve">lizarse en cada caso concreto, Bermúdez señala que </w:t>
      </w:r>
      <w:r w:rsidR="002702A1">
        <w:rPr>
          <w:rFonts w:ascii="Trebuchet MS" w:hAnsi="Trebuchet MS"/>
          <w:lang w:val="es-ES"/>
        </w:rPr>
        <w:t>deberán considerarse “e</w:t>
      </w:r>
      <w:r w:rsidR="002702A1" w:rsidRPr="002702A1">
        <w:rPr>
          <w:rFonts w:ascii="Trebuchet MS" w:hAnsi="Trebuchet MS"/>
          <w:lang w:val="es-ES"/>
        </w:rPr>
        <w:t>l tiempo y lugar en que se desarrolla el servicio</w:t>
      </w:r>
      <w:r w:rsidR="002702A1">
        <w:rPr>
          <w:rFonts w:ascii="Trebuchet MS" w:hAnsi="Trebuchet MS"/>
          <w:lang w:val="es-ES"/>
        </w:rPr>
        <w:t xml:space="preserve">” </w:t>
      </w:r>
      <w:r w:rsidR="00617EB6">
        <w:rPr>
          <w:rFonts w:ascii="Trebuchet MS" w:hAnsi="Trebuchet MS"/>
          <w:lang w:val="es-ES"/>
        </w:rPr>
        <w:t xml:space="preserve">pues, </w:t>
      </w:r>
      <w:r w:rsidR="00617EB6" w:rsidRPr="002702A1">
        <w:rPr>
          <w:rFonts w:ascii="Trebuchet MS" w:hAnsi="Trebuchet MS"/>
          <w:lang w:val="es-ES"/>
        </w:rPr>
        <w:t>por</w:t>
      </w:r>
      <w:r w:rsidR="002702A1" w:rsidRPr="002702A1">
        <w:rPr>
          <w:rFonts w:ascii="Trebuchet MS" w:hAnsi="Trebuchet MS"/>
          <w:lang w:val="es-ES"/>
        </w:rPr>
        <w:t xml:space="preserve"> ejemplo, </w:t>
      </w:r>
      <w:r w:rsidR="002702A1">
        <w:rPr>
          <w:rFonts w:ascii="Trebuchet MS" w:hAnsi="Trebuchet MS"/>
          <w:lang w:val="es-ES"/>
        </w:rPr>
        <w:t>señala “</w:t>
      </w:r>
      <w:r w:rsidR="002702A1" w:rsidRPr="002702A1">
        <w:rPr>
          <w:rFonts w:ascii="Trebuchet MS" w:hAnsi="Trebuchet MS"/>
          <w:lang w:val="es-ES"/>
        </w:rPr>
        <w:t>una Municipalidad pobre tiene un standard de falta de servicio menos exigente que otra con grandes recursos</w:t>
      </w:r>
      <w:r w:rsidR="002702A1">
        <w:rPr>
          <w:rFonts w:ascii="Trebuchet MS" w:hAnsi="Trebuchet MS"/>
          <w:lang w:val="es-ES"/>
        </w:rPr>
        <w:t>”</w:t>
      </w:r>
      <w:r w:rsidR="009135F6">
        <w:rPr>
          <w:rStyle w:val="Refdenotaalpie"/>
          <w:rFonts w:ascii="Trebuchet MS" w:hAnsi="Trebuchet MS"/>
          <w:lang w:val="es-ES"/>
        </w:rPr>
        <w:footnoteReference w:id="63"/>
      </w:r>
      <w:r w:rsidR="002702A1">
        <w:rPr>
          <w:rFonts w:ascii="Trebuchet MS" w:hAnsi="Trebuchet MS"/>
          <w:lang w:val="es-ES"/>
        </w:rPr>
        <w:t>. También ha de atenderse a “l</w:t>
      </w:r>
      <w:r w:rsidR="002702A1" w:rsidRPr="002702A1">
        <w:rPr>
          <w:rFonts w:ascii="Trebuchet MS" w:hAnsi="Trebuchet MS"/>
          <w:lang w:val="es-ES"/>
        </w:rPr>
        <w:t>os medios técnicos y humanos con que cuenta la Adm</w:t>
      </w:r>
      <w:r w:rsidR="002702A1">
        <w:rPr>
          <w:rFonts w:ascii="Trebuchet MS" w:hAnsi="Trebuchet MS"/>
          <w:lang w:val="es-ES"/>
        </w:rPr>
        <w:t>in</w:t>
      </w:r>
      <w:r w:rsidR="002702A1" w:rsidRPr="002702A1">
        <w:rPr>
          <w:rFonts w:ascii="Trebuchet MS" w:hAnsi="Trebuchet MS"/>
          <w:lang w:val="es-ES"/>
        </w:rPr>
        <w:t>istración para realizar su actividad</w:t>
      </w:r>
      <w:r w:rsidR="002702A1">
        <w:rPr>
          <w:rFonts w:ascii="Trebuchet MS" w:hAnsi="Trebuchet MS"/>
          <w:lang w:val="es-ES"/>
        </w:rPr>
        <w:t xml:space="preserve">” </w:t>
      </w:r>
      <w:r w:rsidR="00B06FF8">
        <w:rPr>
          <w:rStyle w:val="Refdenotaalpie"/>
          <w:rFonts w:ascii="Trebuchet MS" w:hAnsi="Trebuchet MS"/>
          <w:lang w:val="es-ES"/>
        </w:rPr>
        <w:footnoteReference w:id="64"/>
      </w:r>
      <w:r w:rsidR="002702A1">
        <w:rPr>
          <w:rFonts w:ascii="Trebuchet MS" w:hAnsi="Trebuchet MS"/>
          <w:lang w:val="es-ES"/>
        </w:rPr>
        <w:t>, y en tal caso, “l</w:t>
      </w:r>
      <w:r w:rsidR="002702A1" w:rsidRPr="002702A1">
        <w:rPr>
          <w:rFonts w:ascii="Trebuchet MS" w:hAnsi="Trebuchet MS"/>
          <w:lang w:val="es-ES"/>
        </w:rPr>
        <w:t>a falta debe ser acorde con la realidad objetiva y relativa del servicio</w:t>
      </w:r>
      <w:r w:rsidR="00617EB6">
        <w:rPr>
          <w:rFonts w:ascii="Trebuchet MS" w:hAnsi="Trebuchet MS"/>
          <w:lang w:val="es-ES"/>
        </w:rPr>
        <w:t xml:space="preserve">”, </w:t>
      </w:r>
      <w:r w:rsidR="00617EB6" w:rsidRPr="002702A1">
        <w:rPr>
          <w:rFonts w:ascii="Trebuchet MS" w:hAnsi="Trebuchet MS"/>
          <w:lang w:val="es-ES"/>
        </w:rPr>
        <w:t>elemento</w:t>
      </w:r>
      <w:r w:rsidR="002702A1" w:rsidRPr="002702A1">
        <w:rPr>
          <w:rFonts w:ascii="Trebuchet MS" w:hAnsi="Trebuchet MS"/>
          <w:lang w:val="es-ES"/>
        </w:rPr>
        <w:t xml:space="preserve"> de gran relevancia toda vez que una defensa con que cuenta la Administración está en el llamado standard medio de actuación, es decir, que el Servicio actuó dentro de los niveles normales de su actividad. Por ejemplo, </w:t>
      </w:r>
      <w:r w:rsidR="00B049D3">
        <w:rPr>
          <w:rFonts w:ascii="Trebuchet MS" w:hAnsi="Trebuchet MS"/>
          <w:lang w:val="es-ES"/>
        </w:rPr>
        <w:t xml:space="preserve">atendido </w:t>
      </w:r>
      <w:r w:rsidR="002702A1" w:rsidRPr="002702A1">
        <w:rPr>
          <w:rFonts w:ascii="Trebuchet MS" w:hAnsi="Trebuchet MS"/>
          <w:lang w:val="es-ES"/>
        </w:rPr>
        <w:t>el tiempo de respuesta promedio de las ambulancias de la asistencia pública</w:t>
      </w:r>
      <w:r w:rsidR="00B049D3">
        <w:rPr>
          <w:rFonts w:ascii="Trebuchet MS" w:hAnsi="Trebuchet MS"/>
          <w:lang w:val="es-ES"/>
        </w:rPr>
        <w:t>, el Contralor General señala que “s</w:t>
      </w:r>
      <w:r w:rsidR="002702A1" w:rsidRPr="002702A1">
        <w:rPr>
          <w:rFonts w:ascii="Trebuchet MS" w:hAnsi="Trebuchet MS"/>
          <w:lang w:val="es-ES"/>
        </w:rPr>
        <w:t>i la Administración demuestra que actuó dentro de dicho standard medio, no existirá falta de servicio y por tanto la acción será enervada.</w:t>
      </w:r>
      <w:r w:rsidR="009135F6">
        <w:rPr>
          <w:rStyle w:val="Refdenotaalpie"/>
          <w:rFonts w:ascii="Trebuchet MS" w:hAnsi="Trebuchet MS"/>
          <w:lang w:val="es-ES"/>
        </w:rPr>
        <w:footnoteReference w:id="65"/>
      </w:r>
      <w:r w:rsidR="002702A1" w:rsidRPr="002702A1">
        <w:rPr>
          <w:rFonts w:ascii="Trebuchet MS" w:hAnsi="Trebuchet MS"/>
          <w:lang w:val="es-ES"/>
        </w:rPr>
        <w:t xml:space="preserve"> </w:t>
      </w:r>
      <w:r w:rsidR="009135F6">
        <w:rPr>
          <w:rFonts w:ascii="Trebuchet MS" w:hAnsi="Trebuchet MS"/>
          <w:lang w:val="es-ES"/>
        </w:rPr>
        <w:t xml:space="preserve">. Del mismo modo, afirma que debe también </w:t>
      </w:r>
      <w:r w:rsidR="00617EB6">
        <w:rPr>
          <w:rFonts w:ascii="Trebuchet MS" w:hAnsi="Trebuchet MS"/>
          <w:lang w:val="es-ES"/>
        </w:rPr>
        <w:t>atenderse la</w:t>
      </w:r>
      <w:r w:rsidR="009135F6">
        <w:rPr>
          <w:rFonts w:ascii="Trebuchet MS" w:hAnsi="Trebuchet MS"/>
          <w:lang w:val="es-ES"/>
        </w:rPr>
        <w:t xml:space="preserve"> “p</w:t>
      </w:r>
      <w:r w:rsidR="002702A1" w:rsidRPr="002702A1">
        <w:rPr>
          <w:rFonts w:ascii="Trebuchet MS" w:hAnsi="Trebuchet MS"/>
          <w:lang w:val="es-ES"/>
        </w:rPr>
        <w:t xml:space="preserve">revisibilidad del daño: si el daño era previsible la responsabilidad por falta de servicio se hace más </w:t>
      </w:r>
      <w:r w:rsidR="00B06FF8" w:rsidRPr="002702A1">
        <w:rPr>
          <w:rFonts w:ascii="Trebuchet MS" w:hAnsi="Trebuchet MS"/>
          <w:lang w:val="es-ES"/>
        </w:rPr>
        <w:t>posible</w:t>
      </w:r>
      <w:r w:rsidR="00B06FF8">
        <w:rPr>
          <w:rFonts w:ascii="Trebuchet MS" w:hAnsi="Trebuchet MS"/>
          <w:lang w:val="es-ES"/>
        </w:rPr>
        <w:t>”</w:t>
      </w:r>
      <w:r w:rsidR="00B06FF8" w:rsidRPr="002702A1">
        <w:rPr>
          <w:rFonts w:ascii="Trebuchet MS" w:hAnsi="Trebuchet MS"/>
          <w:lang w:val="es-ES"/>
        </w:rPr>
        <w:t>.</w:t>
      </w:r>
      <w:r w:rsidR="00B06FF8">
        <w:rPr>
          <w:rFonts w:ascii="Trebuchet MS" w:hAnsi="Trebuchet MS"/>
          <w:lang w:val="es-ES"/>
        </w:rPr>
        <w:t xml:space="preserve"> </w:t>
      </w:r>
    </w:p>
    <w:p w14:paraId="3941CB57" w14:textId="7D8641C7" w:rsidR="003A0A64" w:rsidRPr="00BD2C73" w:rsidRDefault="00B06FF8" w:rsidP="00BD2C73">
      <w:pPr>
        <w:spacing w:after="0" w:line="276" w:lineRule="auto"/>
        <w:jc w:val="both"/>
        <w:rPr>
          <w:rFonts w:ascii="Trebuchet MS" w:hAnsi="Trebuchet MS"/>
          <w:color w:val="202122"/>
          <w:lang w:val="es-ES"/>
        </w:rPr>
      </w:pPr>
      <w:r>
        <w:rPr>
          <w:rFonts w:ascii="Trebuchet MS" w:hAnsi="Trebuchet MS"/>
          <w:lang w:val="es-ES"/>
        </w:rPr>
        <w:t xml:space="preserve">Por tales razones, </w:t>
      </w:r>
      <w:r w:rsidRPr="00D132B2">
        <w:rPr>
          <w:rFonts w:ascii="Trebuchet MS" w:hAnsi="Trebuchet MS"/>
          <w:u w:val="single"/>
        </w:rPr>
        <w:t xml:space="preserve">el proyecto de ley propone </w:t>
      </w:r>
      <w:r w:rsidR="00617EB6">
        <w:rPr>
          <w:rFonts w:ascii="Trebuchet MS" w:hAnsi="Trebuchet MS"/>
          <w:u w:val="single"/>
        </w:rPr>
        <w:t>incorporar en</w:t>
      </w:r>
      <w:r w:rsidR="003A0A64">
        <w:rPr>
          <w:rFonts w:ascii="Trebuchet MS" w:hAnsi="Trebuchet MS"/>
          <w:u w:val="single"/>
        </w:rPr>
        <w:t xml:space="preserve"> el artículo 14 ter que la comprobación </w:t>
      </w:r>
      <w:r w:rsidR="00617EB6">
        <w:rPr>
          <w:rFonts w:ascii="Trebuchet MS" w:hAnsi="Trebuchet MS"/>
          <w:u w:val="single"/>
        </w:rPr>
        <w:t>de la</w:t>
      </w:r>
      <w:r w:rsidR="003A0A64">
        <w:rPr>
          <w:rFonts w:ascii="Trebuchet MS" w:hAnsi="Trebuchet MS"/>
          <w:u w:val="single"/>
        </w:rPr>
        <w:t xml:space="preserve"> existencia o no de una falta ha de hacerse </w:t>
      </w:r>
      <w:r w:rsidR="00617EB6">
        <w:rPr>
          <w:rFonts w:ascii="Trebuchet MS" w:hAnsi="Trebuchet MS"/>
          <w:u w:val="single"/>
        </w:rPr>
        <w:t>atendiendo al</w:t>
      </w:r>
      <w:r w:rsidR="003A0A64">
        <w:rPr>
          <w:rFonts w:ascii="Trebuchet MS" w:hAnsi="Trebuchet MS"/>
          <w:u w:val="single"/>
        </w:rPr>
        <w:t xml:space="preserve"> cumplimiento de las obligaciones o estándares de diligencia exigibles a la </w:t>
      </w:r>
      <w:r w:rsidR="00617EB6">
        <w:rPr>
          <w:rFonts w:ascii="Trebuchet MS" w:hAnsi="Trebuchet MS"/>
          <w:u w:val="single"/>
        </w:rPr>
        <w:t>Administración Pública determinados</w:t>
      </w:r>
      <w:r w:rsidR="003A0A64">
        <w:rPr>
          <w:rFonts w:ascii="Trebuchet MS" w:hAnsi="Trebuchet MS"/>
          <w:u w:val="single"/>
        </w:rPr>
        <w:t xml:space="preserve"> en cada caso por el legislador </w:t>
      </w:r>
      <w:r w:rsidR="00617EB6">
        <w:rPr>
          <w:rFonts w:ascii="Trebuchet MS" w:hAnsi="Trebuchet MS"/>
          <w:u w:val="single"/>
        </w:rPr>
        <w:t>o la</w:t>
      </w:r>
      <w:r w:rsidR="003A0A64">
        <w:rPr>
          <w:rFonts w:ascii="Trebuchet MS" w:hAnsi="Trebuchet MS"/>
          <w:u w:val="single"/>
        </w:rPr>
        <w:t xml:space="preserve"> propia autoridad administrativa en reglas o principios generales.  En caso de no encontrarse estos estándares expresamente determinados en la legislación, corresponde al juez construirlos en base a criterio objetivos establecidos en la ciencia o arte de la actividad material concreta desarrollada por el órgano púbico y /o los </w:t>
      </w:r>
      <w:r w:rsidR="00617EB6">
        <w:rPr>
          <w:rFonts w:ascii="Trebuchet MS" w:hAnsi="Trebuchet MS"/>
          <w:u w:val="single"/>
        </w:rPr>
        <w:t>principios, directrices</w:t>
      </w:r>
      <w:r w:rsidR="003A0A64">
        <w:rPr>
          <w:rFonts w:ascii="Trebuchet MS" w:hAnsi="Trebuchet MS"/>
          <w:u w:val="single"/>
        </w:rPr>
        <w:t xml:space="preserve"> y reglas desarrolladas por los </w:t>
      </w:r>
      <w:r w:rsidR="00617EB6">
        <w:rPr>
          <w:rFonts w:ascii="Trebuchet MS" w:hAnsi="Trebuchet MS"/>
          <w:u w:val="single"/>
        </w:rPr>
        <w:t>organismos técnicos</w:t>
      </w:r>
      <w:r w:rsidR="003A0A64">
        <w:rPr>
          <w:rFonts w:ascii="Trebuchet MS" w:hAnsi="Trebuchet MS"/>
          <w:u w:val="single"/>
        </w:rPr>
        <w:t xml:space="preserve"> encargados de velar por el cumplimiento de las Convenciones Internacionales de </w:t>
      </w:r>
      <w:r w:rsidR="00617EB6">
        <w:rPr>
          <w:rFonts w:ascii="Trebuchet MS" w:hAnsi="Trebuchet MS"/>
          <w:u w:val="single"/>
        </w:rPr>
        <w:t>DDHH ratificadas</w:t>
      </w:r>
      <w:r w:rsidR="003A0A64">
        <w:rPr>
          <w:rFonts w:ascii="Trebuchet MS" w:hAnsi="Trebuchet MS"/>
          <w:u w:val="single"/>
        </w:rPr>
        <w:t xml:space="preserve"> por Chile y se encuentren </w:t>
      </w:r>
      <w:r w:rsidR="00617EB6">
        <w:rPr>
          <w:rFonts w:ascii="Trebuchet MS" w:hAnsi="Trebuchet MS"/>
          <w:u w:val="single"/>
        </w:rPr>
        <w:t>vigentes, aplicables</w:t>
      </w:r>
      <w:r w:rsidR="003A0A64">
        <w:rPr>
          <w:rFonts w:ascii="Trebuchet MS" w:hAnsi="Trebuchet MS"/>
          <w:u w:val="single"/>
        </w:rPr>
        <w:t xml:space="preserve"> al caso concreto. </w:t>
      </w:r>
      <w:r w:rsidR="00617EB6">
        <w:rPr>
          <w:rFonts w:ascii="Trebuchet MS" w:hAnsi="Trebuchet MS"/>
          <w:u w:val="single"/>
        </w:rPr>
        <w:t>Agregando,</w:t>
      </w:r>
      <w:r w:rsidR="003A0A64">
        <w:rPr>
          <w:rFonts w:ascii="Trebuchet MS" w:hAnsi="Trebuchet MS"/>
          <w:u w:val="single"/>
        </w:rPr>
        <w:t xml:space="preserve"> además, que atendido que la responsabilidad ha de examinarse en cada caso concreto, deberá </w:t>
      </w:r>
      <w:r w:rsidR="00617EB6">
        <w:rPr>
          <w:rFonts w:ascii="Trebuchet MS" w:hAnsi="Trebuchet MS"/>
          <w:u w:val="single"/>
        </w:rPr>
        <w:t>también considerarse</w:t>
      </w:r>
      <w:r w:rsidR="003A0A64">
        <w:rPr>
          <w:rFonts w:ascii="Trebuchet MS" w:hAnsi="Trebuchet MS"/>
          <w:u w:val="single"/>
        </w:rPr>
        <w:t xml:space="preserve"> el </w:t>
      </w:r>
      <w:r w:rsidR="00617EB6">
        <w:rPr>
          <w:rFonts w:ascii="Trebuchet MS" w:hAnsi="Trebuchet MS"/>
          <w:u w:val="single"/>
        </w:rPr>
        <w:t>“</w:t>
      </w:r>
      <w:r w:rsidR="00617EB6">
        <w:rPr>
          <w:rFonts w:ascii="Trebuchet MS" w:hAnsi="Trebuchet MS"/>
          <w:u w:val="single"/>
          <w:lang w:val="es-ES"/>
        </w:rPr>
        <w:t>tiempo</w:t>
      </w:r>
      <w:r w:rsidR="003A0A64">
        <w:rPr>
          <w:rFonts w:ascii="Trebuchet MS" w:hAnsi="Trebuchet MS"/>
          <w:u w:val="single"/>
          <w:lang w:val="es-ES"/>
        </w:rPr>
        <w:t xml:space="preserve"> y lugar en que se desarrolla el servicio”, “los medios técnicos y humanos con que cuenta para realizar su actividad”, y la previsibilidad del daño.</w:t>
      </w:r>
    </w:p>
    <w:p w14:paraId="77636AAE" w14:textId="199047F9" w:rsidR="004E0E41" w:rsidRPr="00701BA9" w:rsidRDefault="004E0E41" w:rsidP="00C3307B">
      <w:pPr>
        <w:pStyle w:val="Prrafodelista"/>
        <w:spacing w:line="252" w:lineRule="auto"/>
        <w:ind w:left="1134"/>
        <w:jc w:val="both"/>
        <w:rPr>
          <w:rFonts w:ascii="Trebuchet MS" w:hAnsi="Trebuchet MS"/>
          <w:sz w:val="12"/>
          <w:szCs w:val="12"/>
        </w:rPr>
      </w:pPr>
    </w:p>
    <w:p w14:paraId="5C2166FB" w14:textId="5F06869A" w:rsidR="0092660D" w:rsidRPr="006A09E8" w:rsidRDefault="00404327" w:rsidP="00404327">
      <w:pPr>
        <w:pStyle w:val="Prrafodelista"/>
        <w:numPr>
          <w:ilvl w:val="0"/>
          <w:numId w:val="26"/>
        </w:numPr>
        <w:spacing w:line="252" w:lineRule="auto"/>
        <w:ind w:left="1134" w:hanging="1134"/>
        <w:jc w:val="both"/>
        <w:rPr>
          <w:rFonts w:ascii="Trebuchet MS" w:hAnsi="Trebuchet MS"/>
        </w:rPr>
      </w:pPr>
      <w:r w:rsidRPr="006A09E8">
        <w:rPr>
          <w:rFonts w:ascii="Trebuchet MS" w:hAnsi="Trebuchet MS"/>
        </w:rPr>
        <w:t>LA RELACIÓN DE CAUSALIDAD QUE DEBE HABER ENTRE LA FALTA DE SERVICIO Y EL DAÑO SUFRIDO POR EL ADMINISTRADO.</w:t>
      </w:r>
    </w:p>
    <w:p w14:paraId="3AEE0B8E" w14:textId="77777777" w:rsidR="006A09E8" w:rsidRPr="00701BA9" w:rsidRDefault="006A09E8" w:rsidP="006A09E8">
      <w:pPr>
        <w:shd w:val="clear" w:color="auto" w:fill="FFFFFF"/>
        <w:spacing w:after="0" w:line="240" w:lineRule="auto"/>
        <w:jc w:val="both"/>
        <w:rPr>
          <w:rFonts w:ascii="Trebuchet MS" w:hAnsi="Trebuchet MS"/>
          <w:sz w:val="10"/>
          <w:szCs w:val="10"/>
        </w:rPr>
      </w:pPr>
    </w:p>
    <w:p w14:paraId="0D39F547" w14:textId="7C02EA6D" w:rsidR="008C0396" w:rsidRDefault="00E47DA3" w:rsidP="006A09E8">
      <w:pPr>
        <w:shd w:val="clear" w:color="auto" w:fill="FFFFFF"/>
        <w:spacing w:after="0" w:line="240" w:lineRule="auto"/>
        <w:jc w:val="both"/>
        <w:rPr>
          <w:rFonts w:ascii="Trebuchet MS" w:hAnsi="Trebuchet MS"/>
        </w:rPr>
      </w:pPr>
      <w:r>
        <w:rPr>
          <w:rFonts w:ascii="Trebuchet MS" w:hAnsi="Trebuchet MS"/>
        </w:rPr>
        <w:t xml:space="preserve">Para comprometer </w:t>
      </w:r>
      <w:r w:rsidRPr="006A09E8">
        <w:rPr>
          <w:rFonts w:ascii="Trebuchet MS" w:hAnsi="Trebuchet MS"/>
        </w:rPr>
        <w:t xml:space="preserve">la responsabilidad </w:t>
      </w:r>
      <w:r w:rsidR="009D19CC">
        <w:rPr>
          <w:rFonts w:ascii="Trebuchet MS" w:hAnsi="Trebuchet MS"/>
        </w:rPr>
        <w:t>patrimonial</w:t>
      </w:r>
      <w:r>
        <w:rPr>
          <w:rFonts w:ascii="Trebuchet MS" w:hAnsi="Trebuchet MS"/>
        </w:rPr>
        <w:t xml:space="preserve"> del la Administración </w:t>
      </w:r>
      <w:r w:rsidR="001E5290">
        <w:rPr>
          <w:rFonts w:ascii="Trebuchet MS" w:hAnsi="Trebuchet MS"/>
        </w:rPr>
        <w:t>Pública, no basta con que el administrado haya sufrido</w:t>
      </w:r>
      <w:r w:rsidR="009D19CC">
        <w:rPr>
          <w:rFonts w:ascii="Trebuchet MS" w:hAnsi="Trebuchet MS"/>
        </w:rPr>
        <w:t xml:space="preserve"> una lesión o perjuicio y </w:t>
      </w:r>
      <w:r w:rsidR="00617EB6">
        <w:rPr>
          <w:rFonts w:ascii="Trebuchet MS" w:hAnsi="Trebuchet MS"/>
        </w:rPr>
        <w:t>que aquella</w:t>
      </w:r>
      <w:r w:rsidR="000C203C">
        <w:rPr>
          <w:rFonts w:ascii="Trebuchet MS" w:hAnsi="Trebuchet MS"/>
        </w:rPr>
        <w:t xml:space="preserve"> hay incurrido en una falta. </w:t>
      </w:r>
      <w:r w:rsidR="000C203C" w:rsidRPr="006A09E8">
        <w:rPr>
          <w:rFonts w:ascii="Trebuchet MS" w:hAnsi="Trebuchet MS"/>
        </w:rPr>
        <w:t>Se requiere una tercera y última condición: la existencia de un vínculo de causalidad entre la</w:t>
      </w:r>
      <w:r w:rsidR="000C203C">
        <w:rPr>
          <w:rFonts w:ascii="Trebuchet MS" w:hAnsi="Trebuchet MS"/>
        </w:rPr>
        <w:t xml:space="preserve"> </w:t>
      </w:r>
      <w:r w:rsidR="00617EB6">
        <w:rPr>
          <w:rFonts w:ascii="Trebuchet MS" w:hAnsi="Trebuchet MS"/>
        </w:rPr>
        <w:t xml:space="preserve">falta </w:t>
      </w:r>
      <w:r w:rsidR="00617EB6" w:rsidRPr="006A09E8">
        <w:rPr>
          <w:rFonts w:ascii="Trebuchet MS" w:hAnsi="Trebuchet MS"/>
        </w:rPr>
        <w:t>y</w:t>
      </w:r>
      <w:r w:rsidR="000C203C" w:rsidRPr="006A09E8">
        <w:rPr>
          <w:rFonts w:ascii="Trebuchet MS" w:hAnsi="Trebuchet MS"/>
        </w:rPr>
        <w:t xml:space="preserve"> el perjuicio: es preciso que el perjuicio experimentado sea consecuencia de la </w:t>
      </w:r>
      <w:r w:rsidR="000C203C">
        <w:rPr>
          <w:rFonts w:ascii="Trebuchet MS" w:hAnsi="Trebuchet MS"/>
        </w:rPr>
        <w:t>falta de servicio</w:t>
      </w:r>
      <w:r w:rsidR="00A62DC5">
        <w:rPr>
          <w:rFonts w:ascii="Trebuchet MS" w:hAnsi="Trebuchet MS"/>
        </w:rPr>
        <w:t xml:space="preserve"> </w:t>
      </w:r>
      <w:r w:rsidR="000C203C" w:rsidRPr="006A09E8">
        <w:rPr>
          <w:rFonts w:ascii="Trebuchet MS" w:hAnsi="Trebuchet MS"/>
        </w:rPr>
        <w:t>cometida</w:t>
      </w:r>
      <w:r w:rsidR="00A62DC5">
        <w:rPr>
          <w:rStyle w:val="Refdenotaalpie"/>
          <w:rFonts w:ascii="Trebuchet MS" w:hAnsi="Trebuchet MS"/>
        </w:rPr>
        <w:footnoteReference w:id="66"/>
      </w:r>
      <w:r w:rsidR="00A62DC5">
        <w:rPr>
          <w:rFonts w:ascii="Trebuchet MS" w:hAnsi="Trebuchet MS"/>
        </w:rPr>
        <w:t xml:space="preserve">. Pues como dice la </w:t>
      </w:r>
      <w:r w:rsidR="00617EB6">
        <w:rPr>
          <w:rFonts w:ascii="Trebuchet MS" w:hAnsi="Trebuchet MS"/>
        </w:rPr>
        <w:t>teoría de</w:t>
      </w:r>
      <w:r w:rsidR="00A62DC5">
        <w:rPr>
          <w:rFonts w:ascii="Trebuchet MS" w:hAnsi="Trebuchet MS"/>
        </w:rPr>
        <w:t xml:space="preserve"> las obligaciones para que </w:t>
      </w:r>
      <w:r w:rsidR="006A09E8" w:rsidRPr="006A09E8">
        <w:rPr>
          <w:rFonts w:ascii="Trebuchet MS" w:hAnsi="Trebuchet MS"/>
        </w:rPr>
        <w:t xml:space="preserve">una persona quede obligada a indemnizar un </w:t>
      </w:r>
      <w:r w:rsidR="00617EB6" w:rsidRPr="006A09E8">
        <w:rPr>
          <w:rFonts w:ascii="Trebuchet MS" w:hAnsi="Trebuchet MS"/>
        </w:rPr>
        <w:t>perjuicio,</w:t>
      </w:r>
      <w:r w:rsidR="00A62DC5">
        <w:rPr>
          <w:rFonts w:ascii="Trebuchet MS" w:hAnsi="Trebuchet MS"/>
        </w:rPr>
        <w:t xml:space="preserve"> </w:t>
      </w:r>
      <w:r w:rsidR="006A09E8" w:rsidRPr="006A09E8">
        <w:rPr>
          <w:rFonts w:ascii="Trebuchet MS" w:hAnsi="Trebuchet MS"/>
        </w:rPr>
        <w:t>es preciso</w:t>
      </w:r>
      <w:r w:rsidR="00A62DC5">
        <w:rPr>
          <w:rFonts w:ascii="Trebuchet MS" w:hAnsi="Trebuchet MS"/>
        </w:rPr>
        <w:t xml:space="preserve"> </w:t>
      </w:r>
      <w:r w:rsidR="006A09E8" w:rsidRPr="006A09E8">
        <w:rPr>
          <w:rFonts w:ascii="Trebuchet MS" w:hAnsi="Trebuchet MS"/>
        </w:rPr>
        <w:t>que</w:t>
      </w:r>
      <w:r w:rsidR="00A62DC5">
        <w:rPr>
          <w:rFonts w:ascii="Trebuchet MS" w:hAnsi="Trebuchet MS"/>
        </w:rPr>
        <w:t xml:space="preserve"> “</w:t>
      </w:r>
      <w:r w:rsidR="006A09E8" w:rsidRPr="006A09E8">
        <w:rPr>
          <w:rFonts w:ascii="Trebuchet MS" w:hAnsi="Trebuchet MS"/>
        </w:rPr>
        <w:t xml:space="preserve">el daño sea </w:t>
      </w:r>
      <w:r w:rsidR="00A62DC5">
        <w:rPr>
          <w:rFonts w:ascii="Trebuchet MS" w:hAnsi="Trebuchet MS"/>
        </w:rPr>
        <w:t xml:space="preserve">ocasionado </w:t>
      </w:r>
      <w:r w:rsidR="006A09E8" w:rsidRPr="006A09E8">
        <w:rPr>
          <w:rFonts w:ascii="Trebuchet MS" w:hAnsi="Trebuchet MS"/>
        </w:rPr>
        <w:t xml:space="preserve">por causa directa y necesaria del hecho del autor, de manera que sin </w:t>
      </w:r>
      <w:r w:rsidR="00617EB6" w:rsidRPr="006A09E8">
        <w:rPr>
          <w:rFonts w:ascii="Trebuchet MS" w:hAnsi="Trebuchet MS"/>
        </w:rPr>
        <w:t>este</w:t>
      </w:r>
      <w:r w:rsidR="006A09E8" w:rsidRPr="006A09E8">
        <w:rPr>
          <w:rFonts w:ascii="Trebuchet MS" w:hAnsi="Trebuchet MS"/>
        </w:rPr>
        <w:t xml:space="preserve"> no se habría producido”</w:t>
      </w:r>
      <w:r w:rsidR="00A708E1">
        <w:rPr>
          <w:rStyle w:val="Refdenotaalpie"/>
          <w:rFonts w:ascii="Trebuchet MS" w:hAnsi="Trebuchet MS"/>
        </w:rPr>
        <w:footnoteReference w:id="67"/>
      </w:r>
      <w:r w:rsidR="006A09E8" w:rsidRPr="006A09E8">
        <w:rPr>
          <w:rFonts w:ascii="Trebuchet MS" w:hAnsi="Trebuchet MS"/>
        </w:rPr>
        <w:t xml:space="preserve"> </w:t>
      </w:r>
      <w:r>
        <w:rPr>
          <w:rFonts w:ascii="Trebuchet MS" w:hAnsi="Trebuchet MS"/>
        </w:rPr>
        <w:t xml:space="preserve">. </w:t>
      </w:r>
    </w:p>
    <w:p w14:paraId="5F79B0C6" w14:textId="77777777" w:rsidR="008C0396" w:rsidRDefault="008C0396" w:rsidP="006A09E8">
      <w:pPr>
        <w:shd w:val="clear" w:color="auto" w:fill="FFFFFF"/>
        <w:spacing w:after="0" w:line="240" w:lineRule="auto"/>
        <w:jc w:val="both"/>
        <w:rPr>
          <w:rFonts w:ascii="Trebuchet MS" w:hAnsi="Trebuchet MS"/>
        </w:rPr>
      </w:pPr>
    </w:p>
    <w:p w14:paraId="3DE4F8FD" w14:textId="6809A7A5" w:rsidR="006A09E8" w:rsidRPr="006A09E8" w:rsidRDefault="00E47DA3" w:rsidP="006A09E8">
      <w:pPr>
        <w:shd w:val="clear" w:color="auto" w:fill="FFFFFF"/>
        <w:spacing w:after="0" w:line="240" w:lineRule="auto"/>
        <w:jc w:val="both"/>
        <w:rPr>
          <w:rFonts w:ascii="Trebuchet MS" w:hAnsi="Trebuchet MS"/>
        </w:rPr>
      </w:pPr>
      <w:r>
        <w:rPr>
          <w:rFonts w:ascii="Trebuchet MS" w:hAnsi="Trebuchet MS"/>
        </w:rPr>
        <w:t xml:space="preserve">En otras </w:t>
      </w:r>
      <w:r w:rsidR="00617EB6">
        <w:rPr>
          <w:rFonts w:ascii="Trebuchet MS" w:hAnsi="Trebuchet MS"/>
        </w:rPr>
        <w:t xml:space="preserve">palabras, </w:t>
      </w:r>
      <w:r w:rsidR="00617EB6" w:rsidRPr="006A09E8">
        <w:rPr>
          <w:rFonts w:ascii="Trebuchet MS" w:hAnsi="Trebuchet MS"/>
        </w:rPr>
        <w:t>como</w:t>
      </w:r>
      <w:r w:rsidR="008C0396">
        <w:rPr>
          <w:rFonts w:ascii="Trebuchet MS" w:hAnsi="Trebuchet MS"/>
        </w:rPr>
        <w:t xml:space="preserve"> ha dicho la Corte Suprema-citando a los hermanos Mazeaud- </w:t>
      </w:r>
      <w:r w:rsidR="00797625" w:rsidRPr="006A09E8">
        <w:rPr>
          <w:rFonts w:ascii="Trebuchet MS" w:hAnsi="Trebuchet MS"/>
        </w:rPr>
        <w:t>“cuando el perjuicio no puede atribuirse al demandado, este último forzosamente tiene que ser exonerado</w:t>
      </w:r>
      <w:r w:rsidR="008C0396">
        <w:rPr>
          <w:rFonts w:ascii="Trebuchet MS" w:hAnsi="Trebuchet MS"/>
        </w:rPr>
        <w:t>”</w:t>
      </w:r>
      <w:r w:rsidR="00797625" w:rsidRPr="006A09E8">
        <w:rPr>
          <w:rFonts w:ascii="Trebuchet MS" w:hAnsi="Trebuchet MS"/>
        </w:rPr>
        <w:t>.</w:t>
      </w:r>
      <w:r w:rsidR="008C0396">
        <w:rPr>
          <w:rStyle w:val="Refdenotaalpie"/>
          <w:rFonts w:ascii="Trebuchet MS" w:hAnsi="Trebuchet MS"/>
        </w:rPr>
        <w:footnoteReference w:id="68"/>
      </w:r>
      <w:r w:rsidR="00797625" w:rsidRPr="006A09E8">
        <w:rPr>
          <w:rFonts w:ascii="Trebuchet MS" w:hAnsi="Trebuchet MS"/>
        </w:rPr>
        <w:t xml:space="preserve">(página 456)”. </w:t>
      </w:r>
    </w:p>
    <w:p w14:paraId="2FB919F4" w14:textId="77777777" w:rsidR="006A09E8" w:rsidRPr="006A09E8" w:rsidRDefault="006A09E8" w:rsidP="006A09E8">
      <w:pPr>
        <w:shd w:val="clear" w:color="auto" w:fill="FFFFFF"/>
        <w:spacing w:after="0" w:line="240" w:lineRule="auto"/>
        <w:jc w:val="both"/>
        <w:rPr>
          <w:rFonts w:ascii="Trebuchet MS" w:hAnsi="Trebuchet MS"/>
        </w:rPr>
      </w:pPr>
    </w:p>
    <w:p w14:paraId="140C37BC" w14:textId="38DB1C4E" w:rsidR="006A09E8" w:rsidRDefault="006A09E8" w:rsidP="006A09E8">
      <w:pPr>
        <w:shd w:val="clear" w:color="auto" w:fill="FFFFFF"/>
        <w:spacing w:after="0" w:line="240" w:lineRule="auto"/>
        <w:jc w:val="both"/>
        <w:rPr>
          <w:rFonts w:ascii="Trebuchet MS" w:hAnsi="Trebuchet MS"/>
        </w:rPr>
      </w:pPr>
      <w:r w:rsidRPr="006A09E8">
        <w:rPr>
          <w:rFonts w:ascii="Trebuchet MS" w:hAnsi="Trebuchet MS"/>
        </w:rPr>
        <w:t xml:space="preserve">Así, ha sentenciado la Corte </w:t>
      </w:r>
      <w:r w:rsidR="00BF7394">
        <w:rPr>
          <w:rFonts w:ascii="Trebuchet MS" w:hAnsi="Trebuchet MS"/>
        </w:rPr>
        <w:t xml:space="preserve">Suprema </w:t>
      </w:r>
      <w:r w:rsidRPr="006A09E8">
        <w:rPr>
          <w:rFonts w:ascii="Trebuchet MS" w:hAnsi="Trebuchet MS"/>
        </w:rPr>
        <w:t>que “</w:t>
      </w:r>
      <w:r w:rsidR="003C620D">
        <w:rPr>
          <w:rFonts w:ascii="Trebuchet MS" w:hAnsi="Trebuchet MS"/>
        </w:rPr>
        <w:t>[</w:t>
      </w:r>
      <w:r w:rsidRPr="006A09E8">
        <w:rPr>
          <w:rFonts w:ascii="Trebuchet MS" w:hAnsi="Trebuchet MS"/>
        </w:rPr>
        <w:t>…</w:t>
      </w:r>
      <w:r w:rsidR="003C620D">
        <w:rPr>
          <w:rFonts w:ascii="Trebuchet MS" w:hAnsi="Trebuchet MS"/>
        </w:rPr>
        <w:t>]</w:t>
      </w:r>
      <w:r w:rsidRPr="006A09E8">
        <w:rPr>
          <w:rFonts w:ascii="Trebuchet MS" w:hAnsi="Trebuchet MS"/>
        </w:rPr>
        <w:t xml:space="preserve"> para que se genere la responsabilidad por falta de servicio, es necesario que entre aquélla y el daño producido exista una relación de causalidad, </w:t>
      </w:r>
      <w:r w:rsidRPr="00CF0B35">
        <w:rPr>
          <w:rFonts w:ascii="Trebuchet MS" w:hAnsi="Trebuchet MS"/>
          <w:u w:val="single"/>
        </w:rPr>
        <w:t>la que exige un vínculo necesario y directo</w:t>
      </w:r>
      <w:r w:rsidRPr="006A09E8">
        <w:rPr>
          <w:rFonts w:ascii="Trebuchet MS" w:hAnsi="Trebuchet MS"/>
        </w:rPr>
        <w:t>”</w:t>
      </w:r>
      <w:r w:rsidR="003C620D">
        <w:rPr>
          <w:rStyle w:val="Refdenotaalpie"/>
          <w:rFonts w:ascii="Trebuchet MS" w:hAnsi="Trebuchet MS"/>
        </w:rPr>
        <w:footnoteReference w:id="69"/>
      </w:r>
      <w:r w:rsidRPr="006A09E8">
        <w:rPr>
          <w:rFonts w:ascii="Trebuchet MS" w:hAnsi="Trebuchet MS"/>
        </w:rPr>
        <w:t>. A mayor abundamiento, la doctrina nacional</w:t>
      </w:r>
      <w:r w:rsidR="0032654F">
        <w:rPr>
          <w:rStyle w:val="Refdenotaalpie"/>
          <w:rFonts w:ascii="Trebuchet MS" w:hAnsi="Trebuchet MS"/>
        </w:rPr>
        <w:footnoteReference w:id="70"/>
      </w:r>
      <w:r w:rsidRPr="006A09E8">
        <w:rPr>
          <w:rFonts w:ascii="Trebuchet MS" w:hAnsi="Trebuchet MS"/>
        </w:rPr>
        <w:t xml:space="preserve">  ha sostenido que la exigencia del requisito del nexo </w:t>
      </w:r>
      <w:r w:rsidR="00617EB6" w:rsidRPr="006A09E8">
        <w:rPr>
          <w:rFonts w:ascii="Trebuchet MS" w:hAnsi="Trebuchet MS"/>
        </w:rPr>
        <w:t>causal</w:t>
      </w:r>
      <w:r w:rsidRPr="006A09E8">
        <w:rPr>
          <w:rFonts w:ascii="Trebuchet MS" w:hAnsi="Trebuchet MS"/>
        </w:rPr>
        <w:t xml:space="preserve"> se infiere de varias disposiciones de modo implícito, sea que se trate de responsabilidad contractual o extracontractual, objetiva o subjetiva o diga relación con el daño patrimonial o moral, la que no es discutida en la jurisprudencia. </w:t>
      </w:r>
    </w:p>
    <w:p w14:paraId="23276BE0" w14:textId="77777777" w:rsidR="0032654F" w:rsidRPr="0032654F" w:rsidRDefault="0032654F" w:rsidP="006A09E8">
      <w:pPr>
        <w:shd w:val="clear" w:color="auto" w:fill="FFFFFF"/>
        <w:spacing w:after="0" w:line="240" w:lineRule="auto"/>
        <w:jc w:val="both"/>
        <w:rPr>
          <w:rFonts w:ascii="Trebuchet MS" w:hAnsi="Trebuchet MS"/>
        </w:rPr>
      </w:pPr>
    </w:p>
    <w:p w14:paraId="33C2EDCE" w14:textId="61520F30" w:rsidR="006A09E8" w:rsidRPr="0032654F" w:rsidRDefault="0032654F" w:rsidP="0032654F">
      <w:pPr>
        <w:shd w:val="clear" w:color="auto" w:fill="FFFFFF"/>
        <w:spacing w:after="0" w:line="240" w:lineRule="auto"/>
        <w:jc w:val="both"/>
        <w:rPr>
          <w:rFonts w:ascii="Trebuchet MS" w:hAnsi="Trebuchet MS"/>
          <w:i/>
          <w:iCs/>
        </w:rPr>
      </w:pPr>
      <w:r w:rsidRPr="004836CA">
        <w:rPr>
          <w:rFonts w:ascii="Trebuchet MS" w:hAnsi="Trebuchet MS"/>
        </w:rPr>
        <w:t>Si bien es cierto que a</w:t>
      </w:r>
      <w:r w:rsidR="006A09E8" w:rsidRPr="004836CA">
        <w:rPr>
          <w:rFonts w:ascii="Trebuchet MS" w:hAnsi="Trebuchet MS"/>
        </w:rPr>
        <w:t xml:space="preserve"> nivel teórico</w:t>
      </w:r>
      <w:r w:rsidR="00B115E0">
        <w:rPr>
          <w:rFonts w:ascii="Trebuchet MS" w:hAnsi="Trebuchet MS"/>
        </w:rPr>
        <w:t xml:space="preserve"> </w:t>
      </w:r>
      <w:r w:rsidR="006A09E8" w:rsidRPr="004836CA">
        <w:rPr>
          <w:rFonts w:ascii="Trebuchet MS" w:hAnsi="Trebuchet MS"/>
        </w:rPr>
        <w:t xml:space="preserve">diversas son las teorías </w:t>
      </w:r>
      <w:r w:rsidR="004836CA" w:rsidRPr="004836CA">
        <w:rPr>
          <w:rFonts w:ascii="Trebuchet MS" w:hAnsi="Trebuchet MS"/>
        </w:rPr>
        <w:t>sobre la causa</w:t>
      </w:r>
      <w:r w:rsidR="006A09E8" w:rsidRPr="004836CA">
        <w:rPr>
          <w:rFonts w:ascii="Trebuchet MS" w:hAnsi="Trebuchet MS"/>
        </w:rPr>
        <w:t>, a saber: la teoría de la equivalencia de las condiciones, la teoría de la causa adecuada, la teoría de la causa necesaria y la teoría de la relevancia típica</w:t>
      </w:r>
      <w:r w:rsidRPr="004836CA">
        <w:rPr>
          <w:rStyle w:val="Refdenotaalpie"/>
          <w:rFonts w:ascii="Trebuchet MS" w:hAnsi="Trebuchet MS"/>
        </w:rPr>
        <w:footnoteReference w:id="71"/>
      </w:r>
      <w:r w:rsidR="004836CA" w:rsidRPr="004836CA">
        <w:rPr>
          <w:rFonts w:ascii="Trebuchet MS" w:hAnsi="Trebuchet MS"/>
        </w:rPr>
        <w:t xml:space="preserve">, </w:t>
      </w:r>
      <w:r w:rsidR="006A09E8" w:rsidRPr="004836CA">
        <w:rPr>
          <w:rFonts w:ascii="Trebuchet MS" w:hAnsi="Trebuchet MS"/>
        </w:rPr>
        <w:t xml:space="preserve"> </w:t>
      </w:r>
      <w:r w:rsidR="00B115E0">
        <w:rPr>
          <w:rFonts w:ascii="Trebuchet MS" w:hAnsi="Trebuchet MS"/>
        </w:rPr>
        <w:t>e</w:t>
      </w:r>
      <w:r w:rsidR="004836CA" w:rsidRPr="004836CA">
        <w:rPr>
          <w:rFonts w:ascii="Trebuchet MS" w:hAnsi="Trebuchet MS"/>
        </w:rPr>
        <w:t>n particular, los fallos de la Corte Suprema evidencian una clara tendencia a la aplicación de la teoría de la causa necesaria</w:t>
      </w:r>
      <w:r w:rsidR="00053F72">
        <w:rPr>
          <w:rFonts w:ascii="Trebuchet MS" w:hAnsi="Trebuchet MS"/>
        </w:rPr>
        <w:t>.</w:t>
      </w:r>
      <w:r w:rsidR="004836CA" w:rsidRPr="004836CA">
        <w:rPr>
          <w:rFonts w:ascii="Trebuchet MS" w:hAnsi="Trebuchet MS"/>
        </w:rPr>
        <w:t xml:space="preserve"> “La doctrina y jurisprudencia están de acuerdo en que para dar por acreditada la </w:t>
      </w:r>
      <w:r w:rsidR="004836CA" w:rsidRPr="00D132B2">
        <w:rPr>
          <w:rFonts w:ascii="Trebuchet MS" w:hAnsi="Trebuchet MS"/>
        </w:rPr>
        <w:t>causalidad debe mostrarse que el hecho por el cual se responde es una condición necesaria del daño. Y un hecho es condición necesaria de un cierto resultado cuando de no haber existido la condición, el resultado tampoco se habría producido (el hecho es condictio sine qua non del daño</w:t>
      </w:r>
      <w:r w:rsidR="004836CA" w:rsidRPr="004836CA">
        <w:rPr>
          <w:rFonts w:ascii="Trebuchet MS" w:hAnsi="Trebuchet MS"/>
        </w:rPr>
        <w:t>)</w:t>
      </w:r>
      <w:r w:rsidR="00CF0B35">
        <w:rPr>
          <w:rFonts w:ascii="Trebuchet MS" w:hAnsi="Trebuchet MS"/>
        </w:rPr>
        <w:t>-</w:t>
      </w:r>
      <w:r w:rsidR="004836CA" w:rsidRPr="004836CA">
        <w:rPr>
          <w:rFonts w:ascii="Trebuchet MS" w:hAnsi="Trebuchet MS"/>
        </w:rPr>
        <w:t>”</w:t>
      </w:r>
      <w:r w:rsidR="00053F72">
        <w:rPr>
          <w:rStyle w:val="Refdenotaalpie"/>
          <w:rFonts w:ascii="Trebuchet MS" w:hAnsi="Trebuchet MS"/>
        </w:rPr>
        <w:footnoteReference w:id="72"/>
      </w:r>
      <w:r w:rsidR="004836CA" w:rsidRPr="004836CA">
        <w:rPr>
          <w:rFonts w:ascii="Trebuchet MS" w:hAnsi="Trebuchet MS"/>
        </w:rPr>
        <w:t xml:space="preserve"> </w:t>
      </w:r>
    </w:p>
    <w:p w14:paraId="5829CEC0" w14:textId="77777777" w:rsidR="006A09E8" w:rsidRPr="006A09E8" w:rsidRDefault="006A09E8" w:rsidP="006A09E8">
      <w:pPr>
        <w:pStyle w:val="Prrafodelista"/>
        <w:shd w:val="clear" w:color="auto" w:fill="FFFFFF"/>
        <w:spacing w:after="0" w:line="240" w:lineRule="auto"/>
        <w:jc w:val="both"/>
        <w:rPr>
          <w:rFonts w:ascii="Trebuchet MS" w:hAnsi="Trebuchet MS"/>
        </w:rPr>
      </w:pPr>
    </w:p>
    <w:p w14:paraId="73C507A5" w14:textId="795823F4" w:rsidR="0055487D" w:rsidRDefault="00B53D7C" w:rsidP="001734AA">
      <w:pPr>
        <w:spacing w:line="252" w:lineRule="auto"/>
        <w:jc w:val="both"/>
        <w:rPr>
          <w:rFonts w:ascii="Trebuchet MS" w:eastAsia="Times New Roman" w:hAnsi="Trebuchet MS" w:cs="Arial"/>
          <w:color w:val="212529"/>
          <w:lang w:eastAsia="es-CL"/>
        </w:rPr>
      </w:pPr>
      <w:r w:rsidRPr="00D132B2">
        <w:rPr>
          <w:rFonts w:ascii="Trebuchet MS" w:eastAsia="Times New Roman" w:hAnsi="Trebuchet MS" w:cs="Arial"/>
          <w:color w:val="212529"/>
          <w:lang w:eastAsia="es-CL"/>
        </w:rPr>
        <w:t xml:space="preserve">Por esa </w:t>
      </w:r>
      <w:r w:rsidR="00617EB6" w:rsidRPr="00D132B2">
        <w:rPr>
          <w:rFonts w:ascii="Trebuchet MS" w:eastAsia="Times New Roman" w:hAnsi="Trebuchet MS" w:cs="Arial"/>
          <w:color w:val="212529"/>
          <w:lang w:eastAsia="es-CL"/>
        </w:rPr>
        <w:t>razón, la</w:t>
      </w:r>
      <w:r w:rsidRPr="00D132B2">
        <w:rPr>
          <w:rFonts w:ascii="Trebuchet MS" w:eastAsia="Times New Roman" w:hAnsi="Trebuchet MS" w:cs="Arial"/>
          <w:color w:val="212529"/>
          <w:u w:val="single"/>
          <w:lang w:eastAsia="es-CL"/>
        </w:rPr>
        <w:t xml:space="preserve"> moción deja establecida dicha causa necesaria como el </w:t>
      </w:r>
      <w:r w:rsidR="0055487D" w:rsidRPr="00D132B2">
        <w:rPr>
          <w:rFonts w:ascii="Trebuchet MS" w:eastAsia="Times New Roman" w:hAnsi="Trebuchet MS" w:cs="Arial"/>
          <w:color w:val="212529"/>
          <w:u w:val="single"/>
          <w:lang w:eastAsia="es-CL"/>
        </w:rPr>
        <w:t>vínculo</w:t>
      </w:r>
      <w:r w:rsidRPr="00D132B2">
        <w:rPr>
          <w:rFonts w:ascii="Trebuchet MS" w:eastAsia="Times New Roman" w:hAnsi="Trebuchet MS" w:cs="Arial"/>
          <w:color w:val="212529"/>
          <w:u w:val="single"/>
          <w:lang w:eastAsia="es-CL"/>
        </w:rPr>
        <w:t xml:space="preserve"> que ha de </w:t>
      </w:r>
      <w:r w:rsidR="0055487D" w:rsidRPr="00D132B2">
        <w:rPr>
          <w:rFonts w:ascii="Trebuchet MS" w:eastAsia="Times New Roman" w:hAnsi="Trebuchet MS" w:cs="Arial"/>
          <w:color w:val="212529"/>
          <w:u w:val="single"/>
          <w:lang w:eastAsia="es-CL"/>
        </w:rPr>
        <w:t>haber</w:t>
      </w:r>
      <w:r w:rsidRPr="00D132B2">
        <w:rPr>
          <w:rFonts w:ascii="Trebuchet MS" w:eastAsia="Times New Roman" w:hAnsi="Trebuchet MS" w:cs="Arial"/>
          <w:color w:val="212529"/>
          <w:u w:val="single"/>
          <w:lang w:eastAsia="es-CL"/>
        </w:rPr>
        <w:t xml:space="preserve"> entre la falta de servicio y los </w:t>
      </w:r>
      <w:r w:rsidR="0055487D" w:rsidRPr="00D132B2">
        <w:rPr>
          <w:rFonts w:ascii="Trebuchet MS" w:eastAsia="Times New Roman" w:hAnsi="Trebuchet MS" w:cs="Arial"/>
          <w:color w:val="212529"/>
          <w:u w:val="single"/>
          <w:lang w:eastAsia="es-CL"/>
        </w:rPr>
        <w:t>daños</w:t>
      </w:r>
      <w:r w:rsidRPr="00D132B2">
        <w:rPr>
          <w:rFonts w:ascii="Trebuchet MS" w:eastAsia="Times New Roman" w:hAnsi="Trebuchet MS" w:cs="Arial"/>
          <w:color w:val="212529"/>
          <w:u w:val="single"/>
          <w:lang w:eastAsia="es-CL"/>
        </w:rPr>
        <w:t xml:space="preserve"> ocasionados a los </w:t>
      </w:r>
      <w:r w:rsidR="0055487D" w:rsidRPr="00D132B2">
        <w:rPr>
          <w:rFonts w:ascii="Trebuchet MS" w:eastAsia="Times New Roman" w:hAnsi="Trebuchet MS" w:cs="Arial"/>
          <w:color w:val="212529"/>
          <w:u w:val="single"/>
          <w:lang w:eastAsia="es-CL"/>
        </w:rPr>
        <w:t>administrados</w:t>
      </w:r>
      <w:r w:rsidRPr="00D132B2">
        <w:rPr>
          <w:rFonts w:ascii="Trebuchet MS" w:eastAsia="Times New Roman" w:hAnsi="Trebuchet MS" w:cs="Arial"/>
          <w:color w:val="212529"/>
          <w:u w:val="single"/>
          <w:lang w:eastAsia="es-CL"/>
        </w:rPr>
        <w:t xml:space="preserve">, </w:t>
      </w:r>
      <w:r w:rsidR="00F666C0" w:rsidRPr="00D132B2">
        <w:rPr>
          <w:rFonts w:ascii="Trebuchet MS" w:eastAsia="Times New Roman" w:hAnsi="Trebuchet MS" w:cs="Arial"/>
          <w:color w:val="212529"/>
          <w:u w:val="single"/>
          <w:lang w:eastAsia="es-CL"/>
        </w:rPr>
        <w:t>com</w:t>
      </w:r>
      <w:r w:rsidR="00D132B2" w:rsidRPr="00D132B2">
        <w:rPr>
          <w:rFonts w:ascii="Trebuchet MS" w:eastAsia="Times New Roman" w:hAnsi="Trebuchet MS" w:cs="Arial"/>
          <w:color w:val="212529"/>
          <w:u w:val="single"/>
          <w:lang w:eastAsia="es-CL"/>
        </w:rPr>
        <w:t>o</w:t>
      </w:r>
      <w:r w:rsidR="00F666C0" w:rsidRPr="00D132B2">
        <w:rPr>
          <w:rFonts w:ascii="Trebuchet MS" w:eastAsia="Times New Roman" w:hAnsi="Trebuchet MS" w:cs="Arial"/>
          <w:color w:val="212529"/>
          <w:u w:val="single"/>
          <w:lang w:eastAsia="es-CL"/>
        </w:rPr>
        <w:t xml:space="preserve"> el tercer elemento que configura la </w:t>
      </w:r>
      <w:r w:rsidR="0055487D" w:rsidRPr="00D132B2">
        <w:rPr>
          <w:rFonts w:ascii="Trebuchet MS" w:eastAsia="Times New Roman" w:hAnsi="Trebuchet MS" w:cs="Arial"/>
          <w:color w:val="212529"/>
          <w:u w:val="single"/>
          <w:lang w:eastAsia="es-CL"/>
        </w:rPr>
        <w:t>responsabilidad</w:t>
      </w:r>
      <w:r w:rsidR="00F666C0" w:rsidRPr="00D132B2">
        <w:rPr>
          <w:rFonts w:ascii="Trebuchet MS" w:eastAsia="Times New Roman" w:hAnsi="Trebuchet MS" w:cs="Arial"/>
          <w:color w:val="212529"/>
          <w:u w:val="single"/>
          <w:lang w:eastAsia="es-CL"/>
        </w:rPr>
        <w:t xml:space="preserve"> </w:t>
      </w:r>
      <w:r w:rsidR="0055487D" w:rsidRPr="00D132B2">
        <w:rPr>
          <w:rFonts w:ascii="Trebuchet MS" w:eastAsia="Times New Roman" w:hAnsi="Trebuchet MS" w:cs="Arial"/>
          <w:color w:val="212529"/>
          <w:u w:val="single"/>
          <w:lang w:eastAsia="es-CL"/>
        </w:rPr>
        <w:t>patrimonial</w:t>
      </w:r>
      <w:r w:rsidR="00F666C0" w:rsidRPr="00D132B2">
        <w:rPr>
          <w:rFonts w:ascii="Trebuchet MS" w:eastAsia="Times New Roman" w:hAnsi="Trebuchet MS" w:cs="Arial"/>
          <w:color w:val="212529"/>
          <w:u w:val="single"/>
          <w:lang w:eastAsia="es-CL"/>
        </w:rPr>
        <w:t xml:space="preserve"> de la Administración, en el </w:t>
      </w:r>
      <w:r w:rsidR="0055487D" w:rsidRPr="00D132B2">
        <w:rPr>
          <w:rFonts w:ascii="Trebuchet MS" w:hAnsi="Trebuchet MS"/>
          <w:u w:val="single"/>
          <w:lang w:val="es-ES"/>
        </w:rPr>
        <w:t>a</w:t>
      </w:r>
      <w:r w:rsidR="00F666C0" w:rsidRPr="00D132B2">
        <w:rPr>
          <w:rFonts w:ascii="Trebuchet MS" w:hAnsi="Trebuchet MS"/>
          <w:u w:val="single"/>
          <w:lang w:val="es-ES"/>
        </w:rPr>
        <w:t>rtículo 14 septies al señalar</w:t>
      </w:r>
      <w:r w:rsidR="0055487D" w:rsidRPr="00D132B2">
        <w:rPr>
          <w:rFonts w:ascii="Trebuchet MS" w:hAnsi="Trebuchet MS"/>
          <w:u w:val="single"/>
          <w:lang w:val="es-ES"/>
        </w:rPr>
        <w:t xml:space="preserve"> que “</w:t>
      </w:r>
      <w:r w:rsidR="0055487D" w:rsidRPr="00D132B2">
        <w:rPr>
          <w:rFonts w:ascii="Trebuchet MS" w:hAnsi="Trebuchet MS"/>
          <w:u w:val="single"/>
        </w:rPr>
        <w:t>l</w:t>
      </w:r>
      <w:r w:rsidR="00F666C0" w:rsidRPr="00D132B2">
        <w:rPr>
          <w:rFonts w:ascii="Trebuchet MS" w:hAnsi="Trebuchet MS"/>
          <w:u w:val="single"/>
        </w:rPr>
        <w:t xml:space="preserve">a Administración del Estado responde por los daños que tengan causa directa y necesaria en </w:t>
      </w:r>
      <w:r w:rsidR="0055487D" w:rsidRPr="00D132B2">
        <w:rPr>
          <w:rFonts w:ascii="Trebuchet MS" w:hAnsi="Trebuchet MS"/>
          <w:u w:val="single"/>
        </w:rPr>
        <w:t xml:space="preserve">una </w:t>
      </w:r>
      <w:r w:rsidR="00F666C0" w:rsidRPr="00D132B2">
        <w:rPr>
          <w:rFonts w:ascii="Trebuchet MS" w:hAnsi="Trebuchet MS"/>
          <w:u w:val="single"/>
        </w:rPr>
        <w:t>falta de servicio</w:t>
      </w:r>
      <w:r w:rsidR="00617EB6" w:rsidRPr="00D132B2">
        <w:rPr>
          <w:rFonts w:ascii="Trebuchet MS" w:hAnsi="Trebuchet MS"/>
        </w:rPr>
        <w:t>”</w:t>
      </w:r>
      <w:r w:rsidR="00617EB6" w:rsidRPr="00D132B2">
        <w:rPr>
          <w:rFonts w:ascii="Trebuchet MS" w:eastAsia="Times New Roman" w:hAnsi="Trebuchet MS" w:cs="Arial"/>
          <w:color w:val="212529"/>
          <w:lang w:eastAsia="es-CL"/>
        </w:rPr>
        <w:t>.</w:t>
      </w:r>
    </w:p>
    <w:p w14:paraId="673CA967" w14:textId="77777777" w:rsidR="00701BA9" w:rsidRPr="00123533" w:rsidRDefault="00701BA9" w:rsidP="001734AA">
      <w:pPr>
        <w:spacing w:line="252" w:lineRule="auto"/>
        <w:jc w:val="both"/>
        <w:rPr>
          <w:rFonts w:ascii="Trebuchet MS" w:eastAsia="Times New Roman" w:hAnsi="Trebuchet MS" w:cs="Arial"/>
          <w:color w:val="212529"/>
          <w:lang w:eastAsia="es-CL"/>
        </w:rPr>
      </w:pPr>
    </w:p>
    <w:p w14:paraId="3E296B08" w14:textId="7FD8A7F7" w:rsidR="00637DD7" w:rsidRDefault="00404327" w:rsidP="00123533">
      <w:pPr>
        <w:pStyle w:val="Prrafodelista"/>
        <w:numPr>
          <w:ilvl w:val="0"/>
          <w:numId w:val="26"/>
        </w:numPr>
        <w:spacing w:line="252" w:lineRule="auto"/>
        <w:ind w:left="1134" w:hanging="1134"/>
        <w:jc w:val="both"/>
        <w:rPr>
          <w:rFonts w:ascii="Trebuchet MS" w:hAnsi="Trebuchet MS"/>
        </w:rPr>
      </w:pPr>
      <w:r>
        <w:rPr>
          <w:rFonts w:ascii="Trebuchet MS" w:hAnsi="Trebuchet MS"/>
        </w:rPr>
        <w:t>LOS DAÑOS INDEMNIZABLES.</w:t>
      </w:r>
      <w:r w:rsidR="006C0E38">
        <w:rPr>
          <w:rFonts w:ascii="Trebuchet MS" w:hAnsi="Trebuchet MS"/>
        </w:rPr>
        <w:t xml:space="preserve"> </w:t>
      </w:r>
    </w:p>
    <w:p w14:paraId="35B09888" w14:textId="77777777" w:rsidR="00123533" w:rsidRPr="00123533" w:rsidRDefault="00123533" w:rsidP="00123533">
      <w:pPr>
        <w:pStyle w:val="Prrafodelista"/>
        <w:spacing w:line="252" w:lineRule="auto"/>
        <w:ind w:left="1134"/>
        <w:jc w:val="both"/>
        <w:rPr>
          <w:rFonts w:ascii="Trebuchet MS" w:hAnsi="Trebuchet MS"/>
        </w:rPr>
      </w:pPr>
    </w:p>
    <w:p w14:paraId="314876C5" w14:textId="74C6593E" w:rsidR="00BC6891" w:rsidRDefault="00BC6891" w:rsidP="00637DD7">
      <w:pPr>
        <w:pStyle w:val="Prrafodelista"/>
        <w:shd w:val="clear" w:color="auto" w:fill="FFFFFF"/>
        <w:spacing w:after="0" w:line="240" w:lineRule="auto"/>
        <w:ind w:left="0"/>
        <w:jc w:val="both"/>
        <w:rPr>
          <w:rFonts w:ascii="Trebuchet MS" w:hAnsi="Trebuchet MS"/>
        </w:rPr>
      </w:pPr>
      <w:r>
        <w:rPr>
          <w:rFonts w:ascii="Trebuchet MS" w:hAnsi="Trebuchet MS"/>
        </w:rPr>
        <w:t xml:space="preserve">Como lo señala la doctrina a partir de la responsabilidad </w:t>
      </w:r>
      <w:r w:rsidR="00B1784F">
        <w:rPr>
          <w:rFonts w:ascii="Trebuchet MS" w:hAnsi="Trebuchet MS"/>
        </w:rPr>
        <w:t>por lesión que establece el artículo 38 inciso segundo de la Constitución Política</w:t>
      </w:r>
      <w:r w:rsidR="007C311D">
        <w:rPr>
          <w:rFonts w:ascii="Trebuchet MS" w:hAnsi="Trebuchet MS"/>
        </w:rPr>
        <w:t>, el hecho fundante de la responsabilidad patrimonial de la Administración Publica es “el da</w:t>
      </w:r>
      <w:r w:rsidR="001A2CB7">
        <w:rPr>
          <w:rFonts w:ascii="Trebuchet MS" w:hAnsi="Trebuchet MS"/>
        </w:rPr>
        <w:t xml:space="preserve">ño”. </w:t>
      </w:r>
      <w:r w:rsidR="000B5D6D">
        <w:rPr>
          <w:rFonts w:ascii="Trebuchet MS" w:hAnsi="Trebuchet MS"/>
        </w:rPr>
        <w:t>L</w:t>
      </w:r>
      <w:r w:rsidR="00637DD7" w:rsidRPr="006A09E8">
        <w:rPr>
          <w:rFonts w:ascii="Trebuchet MS" w:hAnsi="Trebuchet MS"/>
        </w:rPr>
        <w:t xml:space="preserve">a jurisprudencia </w:t>
      </w:r>
      <w:r w:rsidR="001A2CB7">
        <w:rPr>
          <w:rFonts w:ascii="Trebuchet MS" w:hAnsi="Trebuchet MS"/>
        </w:rPr>
        <w:t xml:space="preserve">también </w:t>
      </w:r>
      <w:r w:rsidR="00637DD7" w:rsidRPr="006A09E8">
        <w:rPr>
          <w:rFonts w:ascii="Trebuchet MS" w:hAnsi="Trebuchet MS"/>
        </w:rPr>
        <w:t xml:space="preserve">ha señalado que </w:t>
      </w:r>
      <w:r w:rsidR="00694DB4">
        <w:rPr>
          <w:rFonts w:ascii="Trebuchet MS" w:hAnsi="Trebuchet MS"/>
        </w:rPr>
        <w:t>“</w:t>
      </w:r>
      <w:r w:rsidR="00637DD7" w:rsidRPr="006A09E8">
        <w:rPr>
          <w:rFonts w:ascii="Trebuchet MS" w:hAnsi="Trebuchet MS"/>
        </w:rPr>
        <w:t xml:space="preserve">el daño es siempre el elemento que determina el momento en que se consuma la perpetración del delito o cuasidelito civil </w:t>
      </w:r>
      <w:r w:rsidR="00ED4BA8">
        <w:rPr>
          <w:rFonts w:ascii="Trebuchet MS" w:hAnsi="Trebuchet MS"/>
        </w:rPr>
        <w:t>y</w:t>
      </w:r>
      <w:r w:rsidR="00637DD7" w:rsidRPr="006A09E8">
        <w:rPr>
          <w:rFonts w:ascii="Trebuchet MS" w:hAnsi="Trebuchet MS"/>
        </w:rPr>
        <w:t xml:space="preserve"> nace la obligación indemnizatoria</w:t>
      </w:r>
      <w:r w:rsidR="00694DB4">
        <w:rPr>
          <w:rFonts w:ascii="Trebuchet MS" w:hAnsi="Trebuchet MS"/>
        </w:rPr>
        <w:t xml:space="preserve"> </w:t>
      </w:r>
      <w:r w:rsidR="00A14A11">
        <w:rPr>
          <w:rFonts w:ascii="Trebuchet MS" w:hAnsi="Trebuchet MS"/>
        </w:rPr>
        <w:t>[</w:t>
      </w:r>
      <w:r w:rsidR="00637DD7" w:rsidRPr="006A09E8">
        <w:rPr>
          <w:rFonts w:ascii="Trebuchet MS" w:hAnsi="Trebuchet MS"/>
        </w:rPr>
        <w:t>…</w:t>
      </w:r>
      <w:r w:rsidR="00A14A11">
        <w:rPr>
          <w:rFonts w:ascii="Trebuchet MS" w:hAnsi="Trebuchet MS"/>
        </w:rPr>
        <w:t>]</w:t>
      </w:r>
      <w:r w:rsidR="00637DD7" w:rsidRPr="006A09E8">
        <w:rPr>
          <w:rFonts w:ascii="Trebuchet MS" w:hAnsi="Trebuchet MS"/>
        </w:rPr>
        <w:t>”</w:t>
      </w:r>
      <w:r w:rsidR="000B5D6D">
        <w:rPr>
          <w:rStyle w:val="Refdenotaalpie"/>
          <w:rFonts w:ascii="Trebuchet MS" w:hAnsi="Trebuchet MS"/>
        </w:rPr>
        <w:footnoteReference w:id="73"/>
      </w:r>
      <w:r w:rsidR="00637DD7" w:rsidRPr="006A09E8">
        <w:rPr>
          <w:rFonts w:ascii="Trebuchet MS" w:hAnsi="Trebuchet MS"/>
        </w:rPr>
        <w:t xml:space="preserve">. </w:t>
      </w:r>
    </w:p>
    <w:p w14:paraId="785A84E6" w14:textId="77777777" w:rsidR="00CE17F6" w:rsidRDefault="00CE17F6" w:rsidP="00637DD7">
      <w:pPr>
        <w:pStyle w:val="Prrafodelista"/>
        <w:shd w:val="clear" w:color="auto" w:fill="FFFFFF"/>
        <w:spacing w:after="0" w:line="240" w:lineRule="auto"/>
        <w:ind w:left="0"/>
        <w:jc w:val="both"/>
        <w:rPr>
          <w:rFonts w:ascii="Trebuchet MS" w:hAnsi="Trebuchet MS"/>
        </w:rPr>
      </w:pPr>
    </w:p>
    <w:p w14:paraId="7C07734E" w14:textId="7260EC09" w:rsidR="00637DD7" w:rsidRPr="006A09E8" w:rsidRDefault="00ED4BA8" w:rsidP="00637DD7">
      <w:pPr>
        <w:pStyle w:val="Prrafodelista"/>
        <w:shd w:val="clear" w:color="auto" w:fill="FFFFFF"/>
        <w:spacing w:after="0" w:line="240" w:lineRule="auto"/>
        <w:ind w:left="0"/>
        <w:jc w:val="both"/>
        <w:rPr>
          <w:rFonts w:ascii="Trebuchet MS" w:hAnsi="Trebuchet MS"/>
        </w:rPr>
      </w:pPr>
      <w:r>
        <w:rPr>
          <w:rFonts w:ascii="Trebuchet MS" w:hAnsi="Trebuchet MS"/>
        </w:rPr>
        <w:t>P</w:t>
      </w:r>
      <w:r w:rsidR="00704DA1">
        <w:rPr>
          <w:rFonts w:ascii="Trebuchet MS" w:hAnsi="Trebuchet MS"/>
        </w:rPr>
        <w:t xml:space="preserve">or lo mismo, el daño </w:t>
      </w:r>
      <w:r>
        <w:rPr>
          <w:rFonts w:ascii="Trebuchet MS" w:hAnsi="Trebuchet MS"/>
        </w:rPr>
        <w:t xml:space="preserve">que la </w:t>
      </w:r>
      <w:r w:rsidR="00BC6891">
        <w:rPr>
          <w:rFonts w:ascii="Trebuchet MS" w:hAnsi="Trebuchet MS"/>
        </w:rPr>
        <w:t>a</w:t>
      </w:r>
      <w:r>
        <w:rPr>
          <w:rFonts w:ascii="Trebuchet MS" w:hAnsi="Trebuchet MS"/>
        </w:rPr>
        <w:t xml:space="preserve">dministración publica </w:t>
      </w:r>
      <w:r w:rsidR="003F2E34">
        <w:rPr>
          <w:rFonts w:ascii="Trebuchet MS" w:hAnsi="Trebuchet MS"/>
        </w:rPr>
        <w:t xml:space="preserve">ha de indemnizar </w:t>
      </w:r>
      <w:r w:rsidR="00BC6891">
        <w:rPr>
          <w:rFonts w:ascii="Trebuchet MS" w:hAnsi="Trebuchet MS"/>
        </w:rPr>
        <w:t xml:space="preserve">a los </w:t>
      </w:r>
      <w:r w:rsidR="00617EB6">
        <w:rPr>
          <w:rFonts w:ascii="Trebuchet MS" w:hAnsi="Trebuchet MS"/>
        </w:rPr>
        <w:t>administrados sólo</w:t>
      </w:r>
      <w:r w:rsidR="00637DD7" w:rsidRPr="006A09E8">
        <w:rPr>
          <w:rFonts w:ascii="Trebuchet MS" w:hAnsi="Trebuchet MS"/>
        </w:rPr>
        <w:t xml:space="preserve"> puede ser contemporáneo o posterior (y nunca anterior) al hecho que lo provoca</w:t>
      </w:r>
      <w:r w:rsidR="00E6692E">
        <w:rPr>
          <w:rFonts w:ascii="Trebuchet MS" w:hAnsi="Trebuchet MS"/>
        </w:rPr>
        <w:t>. Como explica Barros, “</w:t>
      </w:r>
      <w:r w:rsidR="00637DD7" w:rsidRPr="006A09E8">
        <w:rPr>
          <w:rFonts w:ascii="Trebuchet MS" w:hAnsi="Trebuchet MS"/>
        </w:rPr>
        <w:t xml:space="preserve">si el daño es contemporáneo al hecho que genera la responsabilidad, concurren simultáneamente todos los elementos que la condicionan; si es posterior, sólo desde entonces habrá lugar a la acción indemnizatoria, </w:t>
      </w:r>
      <w:r w:rsidR="00637DD7" w:rsidRPr="00E6692E">
        <w:rPr>
          <w:rFonts w:ascii="Trebuchet MS" w:hAnsi="Trebuchet MS"/>
          <w:u w:val="single"/>
        </w:rPr>
        <w:t>porque la sola ilicitud de la conducta no da lugar a la responsabilidad civil</w:t>
      </w:r>
      <w:r w:rsidR="00637DD7" w:rsidRPr="006A09E8">
        <w:rPr>
          <w:rFonts w:ascii="Trebuchet MS" w:hAnsi="Trebuchet MS"/>
        </w:rPr>
        <w:t>”</w:t>
      </w:r>
      <w:r w:rsidR="00E6692E">
        <w:rPr>
          <w:rStyle w:val="Refdenotaalpie"/>
          <w:rFonts w:ascii="Trebuchet MS" w:hAnsi="Trebuchet MS"/>
        </w:rPr>
        <w:footnoteReference w:id="74"/>
      </w:r>
      <w:r w:rsidR="00E6692E">
        <w:rPr>
          <w:rFonts w:ascii="Trebuchet MS" w:hAnsi="Trebuchet MS"/>
        </w:rPr>
        <w:t>.</w:t>
      </w:r>
    </w:p>
    <w:p w14:paraId="44DF712B" w14:textId="77777777" w:rsidR="00637DD7" w:rsidRPr="006A09E8" w:rsidRDefault="00637DD7" w:rsidP="00637DD7">
      <w:pPr>
        <w:pStyle w:val="Prrafodelista"/>
        <w:shd w:val="clear" w:color="auto" w:fill="FFFFFF"/>
        <w:spacing w:after="0" w:line="240" w:lineRule="auto"/>
        <w:ind w:left="0"/>
        <w:jc w:val="both"/>
        <w:rPr>
          <w:rFonts w:ascii="Trebuchet MS" w:hAnsi="Trebuchet MS"/>
        </w:rPr>
      </w:pPr>
    </w:p>
    <w:p w14:paraId="4B0565F2" w14:textId="11D5F7D9" w:rsidR="00637DD7" w:rsidRPr="006A09E8" w:rsidRDefault="00617EB6" w:rsidP="00637DD7">
      <w:pPr>
        <w:pStyle w:val="Prrafodelista"/>
        <w:shd w:val="clear" w:color="auto" w:fill="FFFFFF"/>
        <w:spacing w:after="0" w:line="240" w:lineRule="auto"/>
        <w:ind w:left="0"/>
        <w:jc w:val="both"/>
        <w:rPr>
          <w:rFonts w:ascii="Trebuchet MS" w:hAnsi="Trebuchet MS"/>
        </w:rPr>
      </w:pPr>
      <w:r w:rsidRPr="006A09E8">
        <w:rPr>
          <w:rFonts w:ascii="Trebuchet MS" w:hAnsi="Trebuchet MS"/>
        </w:rPr>
        <w:t xml:space="preserve">En </w:t>
      </w:r>
      <w:r>
        <w:rPr>
          <w:rFonts w:ascii="Trebuchet MS" w:hAnsi="Trebuchet MS"/>
        </w:rPr>
        <w:t>cuanto</w:t>
      </w:r>
      <w:r w:rsidR="0055487D">
        <w:rPr>
          <w:rFonts w:ascii="Trebuchet MS" w:hAnsi="Trebuchet MS"/>
        </w:rPr>
        <w:t xml:space="preserve"> al tipo </w:t>
      </w:r>
      <w:r w:rsidR="00637DD7" w:rsidRPr="006A09E8">
        <w:rPr>
          <w:rFonts w:ascii="Trebuchet MS" w:hAnsi="Trebuchet MS"/>
        </w:rPr>
        <w:t>de daños</w:t>
      </w:r>
      <w:r w:rsidR="00E6692E">
        <w:rPr>
          <w:rFonts w:ascii="Trebuchet MS" w:hAnsi="Trebuchet MS"/>
        </w:rPr>
        <w:t xml:space="preserve"> que</w:t>
      </w:r>
      <w:r w:rsidR="00F52B75">
        <w:rPr>
          <w:rFonts w:ascii="Trebuchet MS" w:hAnsi="Trebuchet MS"/>
        </w:rPr>
        <w:t xml:space="preserve"> han de indemnizarse</w:t>
      </w:r>
      <w:r w:rsidR="00637DD7" w:rsidRPr="006A09E8">
        <w:rPr>
          <w:rFonts w:ascii="Trebuchet MS" w:hAnsi="Trebuchet MS"/>
        </w:rPr>
        <w:t xml:space="preserve">, son dos los principales temas </w:t>
      </w:r>
      <w:r w:rsidR="0055487D">
        <w:rPr>
          <w:rFonts w:ascii="Trebuchet MS" w:hAnsi="Trebuchet MS"/>
        </w:rPr>
        <w:t xml:space="preserve">sobre los cuáles </w:t>
      </w:r>
      <w:r w:rsidR="00637DD7" w:rsidRPr="006A09E8">
        <w:rPr>
          <w:rFonts w:ascii="Trebuchet MS" w:hAnsi="Trebuchet MS"/>
        </w:rPr>
        <w:t>la Corte Suprema ha reflexionado</w:t>
      </w:r>
      <w:r w:rsidR="00694DB4">
        <w:rPr>
          <w:rFonts w:ascii="Trebuchet MS" w:hAnsi="Trebuchet MS"/>
        </w:rPr>
        <w:t xml:space="preserve"> en los últimos años: </w:t>
      </w:r>
      <w:r w:rsidR="00637DD7" w:rsidRPr="006A09E8">
        <w:rPr>
          <w:rFonts w:ascii="Trebuchet MS" w:hAnsi="Trebuchet MS"/>
        </w:rPr>
        <w:t>el daño moral y la pérdida de la chance.</w:t>
      </w:r>
    </w:p>
    <w:p w14:paraId="2924E143" w14:textId="77777777" w:rsidR="00637DD7" w:rsidRPr="008B64DE" w:rsidRDefault="00637DD7" w:rsidP="00637DD7">
      <w:pPr>
        <w:pStyle w:val="Prrafodelista"/>
        <w:shd w:val="clear" w:color="auto" w:fill="FFFFFF"/>
        <w:spacing w:after="0" w:line="240" w:lineRule="auto"/>
        <w:ind w:left="0"/>
        <w:jc w:val="both"/>
        <w:rPr>
          <w:rFonts w:ascii="Trebuchet MS" w:hAnsi="Trebuchet MS"/>
        </w:rPr>
      </w:pPr>
    </w:p>
    <w:p w14:paraId="62AD1181" w14:textId="005FBB63" w:rsidR="00857DA0" w:rsidRPr="008B64DE" w:rsidRDefault="00906A28" w:rsidP="00637DD7">
      <w:pPr>
        <w:pStyle w:val="Prrafodelista"/>
        <w:shd w:val="clear" w:color="auto" w:fill="FFFFFF"/>
        <w:spacing w:after="0" w:line="240" w:lineRule="auto"/>
        <w:ind w:left="0"/>
        <w:jc w:val="both"/>
        <w:rPr>
          <w:rFonts w:ascii="Trebuchet MS" w:hAnsi="Trebuchet MS"/>
        </w:rPr>
      </w:pPr>
      <w:r w:rsidRPr="008B64DE">
        <w:rPr>
          <w:rFonts w:ascii="Trebuchet MS" w:hAnsi="Trebuchet MS"/>
        </w:rPr>
        <w:t>Respecto del d</w:t>
      </w:r>
      <w:r w:rsidR="00637DD7" w:rsidRPr="008B64DE">
        <w:rPr>
          <w:rFonts w:ascii="Trebuchet MS" w:hAnsi="Trebuchet MS"/>
        </w:rPr>
        <w:t xml:space="preserve">año moral </w:t>
      </w:r>
      <w:r w:rsidR="00FD1F1B" w:rsidRPr="008B64DE">
        <w:rPr>
          <w:rFonts w:ascii="Trebuchet MS" w:hAnsi="Trebuchet MS"/>
        </w:rPr>
        <w:t xml:space="preserve">o daño extrapatrimonial </w:t>
      </w:r>
      <w:r w:rsidRPr="008B64DE">
        <w:rPr>
          <w:rFonts w:ascii="Trebuchet MS" w:hAnsi="Trebuchet MS"/>
        </w:rPr>
        <w:t xml:space="preserve">ha establecido </w:t>
      </w:r>
      <w:r w:rsidR="00191C9F" w:rsidRPr="008B64DE">
        <w:rPr>
          <w:rFonts w:ascii="Trebuchet MS" w:hAnsi="Trebuchet MS"/>
        </w:rPr>
        <w:t xml:space="preserve">una concepción amplia del mismo, que </w:t>
      </w:r>
      <w:r w:rsidR="00617EB6" w:rsidRPr="008B64DE">
        <w:rPr>
          <w:rFonts w:ascii="Trebuchet MS" w:hAnsi="Trebuchet MS"/>
        </w:rPr>
        <w:t>incluye no</w:t>
      </w:r>
      <w:r w:rsidR="00191C9F" w:rsidRPr="008B64DE">
        <w:rPr>
          <w:rFonts w:ascii="Trebuchet MS" w:hAnsi="Trebuchet MS"/>
        </w:rPr>
        <w:t xml:space="preserve"> sólo el pretium doloris, sino todas las especies de perjuicios morales</w:t>
      </w:r>
      <w:r w:rsidR="00637DD7" w:rsidRPr="008B64DE">
        <w:rPr>
          <w:rFonts w:ascii="Trebuchet MS" w:hAnsi="Trebuchet MS"/>
        </w:rPr>
        <w:t>.</w:t>
      </w:r>
      <w:r w:rsidR="00111121" w:rsidRPr="008B64DE">
        <w:rPr>
          <w:rFonts w:ascii="Trebuchet MS" w:hAnsi="Trebuchet MS"/>
        </w:rPr>
        <w:t xml:space="preserve"> </w:t>
      </w:r>
      <w:r w:rsidR="00617EB6" w:rsidRPr="008B64DE">
        <w:rPr>
          <w:rFonts w:ascii="Trebuchet MS" w:hAnsi="Trebuchet MS"/>
        </w:rPr>
        <w:t>Hoy,</w:t>
      </w:r>
      <w:r w:rsidR="00111121" w:rsidRPr="008B64DE">
        <w:rPr>
          <w:rFonts w:ascii="Trebuchet MS" w:hAnsi="Trebuchet MS"/>
        </w:rPr>
        <w:t xml:space="preserve"> </w:t>
      </w:r>
      <w:r w:rsidR="00617EB6" w:rsidRPr="008B64DE">
        <w:rPr>
          <w:rFonts w:ascii="Trebuchet MS" w:hAnsi="Trebuchet MS"/>
        </w:rPr>
        <w:t>de acuerdo con</w:t>
      </w:r>
      <w:r w:rsidR="00111121" w:rsidRPr="008B64DE">
        <w:rPr>
          <w:rFonts w:ascii="Trebuchet MS" w:hAnsi="Trebuchet MS"/>
        </w:rPr>
        <w:t xml:space="preserve"> la doctrina y el derecho comparado, </w:t>
      </w:r>
      <w:r w:rsidR="00FD1F1B" w:rsidRPr="008B64DE">
        <w:rPr>
          <w:rFonts w:ascii="Trebuchet MS" w:hAnsi="Trebuchet MS"/>
        </w:rPr>
        <w:t xml:space="preserve">el daño extrapatrimonial protege más allá del pretium doloris que es solo una especie </w:t>
      </w:r>
      <w:r w:rsidR="00617EB6" w:rsidRPr="008B64DE">
        <w:rPr>
          <w:rFonts w:ascii="Trebuchet MS" w:hAnsi="Trebuchet MS"/>
        </w:rPr>
        <w:t>de este</w:t>
      </w:r>
      <w:r w:rsidR="00857DA0" w:rsidRPr="008B64DE">
        <w:rPr>
          <w:rFonts w:ascii="Trebuchet MS" w:hAnsi="Trebuchet MS"/>
        </w:rPr>
        <w:t>.</w:t>
      </w:r>
      <w:r w:rsidR="008B64DE" w:rsidRPr="008B64DE">
        <w:rPr>
          <w:rFonts w:ascii="Trebuchet MS" w:hAnsi="Trebuchet MS"/>
        </w:rPr>
        <w:t xml:space="preserve"> </w:t>
      </w:r>
      <w:r w:rsidR="00857DA0" w:rsidRPr="008B64DE">
        <w:rPr>
          <w:rFonts w:ascii="Trebuchet MS" w:hAnsi="Trebuchet MS"/>
        </w:rPr>
        <w:t xml:space="preserve">También es </w:t>
      </w:r>
      <w:r w:rsidR="00617EB6" w:rsidRPr="008B64DE">
        <w:rPr>
          <w:rFonts w:ascii="Trebuchet MS" w:hAnsi="Trebuchet MS"/>
        </w:rPr>
        <w:t>un perjuicio extrapatrimonial</w:t>
      </w:r>
      <w:r w:rsidR="00857DA0" w:rsidRPr="008B64DE">
        <w:rPr>
          <w:rFonts w:ascii="Trebuchet MS" w:hAnsi="Trebuchet MS"/>
        </w:rPr>
        <w:t xml:space="preserve"> la depresión o el daño a su autoestima, que </w:t>
      </w:r>
      <w:r w:rsidR="00617EB6" w:rsidRPr="008B64DE">
        <w:rPr>
          <w:rFonts w:ascii="Trebuchet MS" w:hAnsi="Trebuchet MS"/>
        </w:rPr>
        <w:t>son afectaciones</w:t>
      </w:r>
      <w:r w:rsidR="00857DA0" w:rsidRPr="008B64DE">
        <w:rPr>
          <w:rFonts w:ascii="Trebuchet MS" w:hAnsi="Trebuchet MS"/>
        </w:rPr>
        <w:t xml:space="preserve"> a su integridad psíquica</w:t>
      </w:r>
      <w:r w:rsidR="00857DA0" w:rsidRPr="008B64DE">
        <w:t xml:space="preserve"> </w:t>
      </w:r>
      <w:r w:rsidR="00857DA0" w:rsidRPr="008B64DE">
        <w:rPr>
          <w:rFonts w:ascii="Trebuchet MS" w:hAnsi="Trebuchet MS"/>
        </w:rPr>
        <w:t>diferentes del dolor o sufrimiento que le pudo haber ocasionado el hecho causal.</w:t>
      </w:r>
    </w:p>
    <w:p w14:paraId="2C4F6C3A" w14:textId="77777777" w:rsidR="00857DA0" w:rsidRPr="008B64DE" w:rsidRDefault="00857DA0" w:rsidP="00637DD7">
      <w:pPr>
        <w:pStyle w:val="Prrafodelista"/>
        <w:shd w:val="clear" w:color="auto" w:fill="FFFFFF"/>
        <w:spacing w:after="0" w:line="240" w:lineRule="auto"/>
        <w:ind w:left="0"/>
        <w:jc w:val="both"/>
        <w:rPr>
          <w:rFonts w:ascii="Trebuchet MS" w:hAnsi="Trebuchet MS"/>
        </w:rPr>
      </w:pPr>
    </w:p>
    <w:p w14:paraId="7AA70601" w14:textId="6C78D404" w:rsidR="00CD356E" w:rsidRDefault="00857DA0" w:rsidP="00637DD7">
      <w:pPr>
        <w:pStyle w:val="Prrafodelista"/>
        <w:shd w:val="clear" w:color="auto" w:fill="FFFFFF"/>
        <w:spacing w:after="0" w:line="240" w:lineRule="auto"/>
        <w:ind w:left="0"/>
        <w:jc w:val="both"/>
        <w:rPr>
          <w:rFonts w:ascii="Trebuchet MS" w:hAnsi="Trebuchet MS"/>
        </w:rPr>
      </w:pPr>
      <w:r w:rsidRPr="008B64DE">
        <w:rPr>
          <w:rFonts w:ascii="Trebuchet MS" w:hAnsi="Trebuchet MS"/>
        </w:rPr>
        <w:t>En estricto rigor, la doctrina y la jurisprudencia concuerdan</w:t>
      </w:r>
      <w:r w:rsidR="00516BA8" w:rsidRPr="008B64DE">
        <w:rPr>
          <w:rFonts w:ascii="Trebuchet MS" w:hAnsi="Trebuchet MS"/>
        </w:rPr>
        <w:t xml:space="preserve"> en que el daño moral</w:t>
      </w:r>
      <w:r w:rsidR="0045617A" w:rsidRPr="008B64DE">
        <w:rPr>
          <w:rFonts w:ascii="Trebuchet MS" w:hAnsi="Trebuchet MS"/>
        </w:rPr>
        <w:t xml:space="preserve"> en sentido amplio equivale al</w:t>
      </w:r>
      <w:r w:rsidR="00516BA8" w:rsidRPr="008B64DE">
        <w:rPr>
          <w:rFonts w:ascii="Trebuchet MS" w:hAnsi="Trebuchet MS"/>
        </w:rPr>
        <w:t xml:space="preserve"> atentado a determinados derechos, bienes o intereses no </w:t>
      </w:r>
      <w:r w:rsidR="006C2A29" w:rsidRPr="008B64DE">
        <w:rPr>
          <w:rFonts w:ascii="Trebuchet MS" w:hAnsi="Trebuchet MS"/>
        </w:rPr>
        <w:t xml:space="preserve">patrimoniales </w:t>
      </w:r>
      <w:r w:rsidR="00516BA8" w:rsidRPr="008B64DE">
        <w:rPr>
          <w:rFonts w:ascii="Trebuchet MS" w:hAnsi="Trebuchet MS"/>
        </w:rPr>
        <w:t>que el Derecho asegura a la persona, y no sólo por el dolor causado</w:t>
      </w:r>
      <w:r w:rsidR="006C2A29" w:rsidRPr="008B64DE">
        <w:rPr>
          <w:rFonts w:ascii="Trebuchet MS" w:hAnsi="Trebuchet MS"/>
        </w:rPr>
        <w:t xml:space="preserve"> por una lesión</w:t>
      </w:r>
      <w:r w:rsidR="00CD356E" w:rsidRPr="008B64DE">
        <w:rPr>
          <w:rFonts w:ascii="Trebuchet MS" w:hAnsi="Trebuchet MS"/>
        </w:rPr>
        <w:t xml:space="preserve"> de derechos.</w:t>
      </w:r>
      <w:r w:rsidR="00516BA8" w:rsidRPr="008B64DE">
        <w:rPr>
          <w:rFonts w:ascii="Trebuchet MS" w:hAnsi="Trebuchet MS"/>
        </w:rPr>
        <w:t xml:space="preserve"> </w:t>
      </w:r>
      <w:r w:rsidR="00CD356E" w:rsidRPr="008B64DE">
        <w:rPr>
          <w:rFonts w:ascii="Trebuchet MS" w:hAnsi="Trebuchet MS"/>
        </w:rPr>
        <w:t>Por lo mismo, empieza a generalizarse la expresión "perjuicio no patrimonial" o "daño extrapatrimonial</w:t>
      </w:r>
      <w:r w:rsidR="00617EB6" w:rsidRPr="008B64DE">
        <w:rPr>
          <w:rFonts w:ascii="Trebuchet MS" w:hAnsi="Trebuchet MS"/>
        </w:rPr>
        <w:t>”,</w:t>
      </w:r>
      <w:r w:rsidR="00617EB6">
        <w:rPr>
          <w:rFonts w:ascii="Trebuchet MS" w:hAnsi="Trebuchet MS"/>
        </w:rPr>
        <w:t xml:space="preserve"> e</w:t>
      </w:r>
      <w:r w:rsidR="001E4AEC">
        <w:rPr>
          <w:rFonts w:ascii="Trebuchet MS" w:hAnsi="Trebuchet MS"/>
        </w:rPr>
        <w:t xml:space="preserve"> incluso a </w:t>
      </w:r>
      <w:r w:rsidR="00617EB6">
        <w:rPr>
          <w:rFonts w:ascii="Trebuchet MS" w:hAnsi="Trebuchet MS"/>
        </w:rPr>
        <w:t>imponerse sobre</w:t>
      </w:r>
      <w:r w:rsidR="001E4AEC">
        <w:rPr>
          <w:rFonts w:ascii="Trebuchet MS" w:hAnsi="Trebuchet MS"/>
        </w:rPr>
        <w:t xml:space="preserve"> </w:t>
      </w:r>
      <w:r w:rsidR="00CD356E" w:rsidRPr="00516BA8">
        <w:rPr>
          <w:rFonts w:ascii="Trebuchet MS" w:hAnsi="Trebuchet MS"/>
        </w:rPr>
        <w:t>la denominación "daño moral"</w:t>
      </w:r>
      <w:r w:rsidR="001E4AEC">
        <w:rPr>
          <w:rFonts w:ascii="Trebuchet MS" w:hAnsi="Trebuchet MS"/>
        </w:rPr>
        <w:t>.</w:t>
      </w:r>
      <w:r w:rsidR="008F7D35">
        <w:rPr>
          <w:rStyle w:val="Refdenotaalpie"/>
          <w:rFonts w:ascii="Trebuchet MS" w:hAnsi="Trebuchet MS"/>
        </w:rPr>
        <w:footnoteReference w:id="75"/>
      </w:r>
    </w:p>
    <w:p w14:paraId="2A2A7B2C" w14:textId="77777777" w:rsidR="008B64DE" w:rsidRDefault="008B64DE" w:rsidP="00637DD7">
      <w:pPr>
        <w:pStyle w:val="Prrafodelista"/>
        <w:shd w:val="clear" w:color="auto" w:fill="FFFFFF"/>
        <w:spacing w:after="0" w:line="240" w:lineRule="auto"/>
        <w:ind w:left="0"/>
        <w:jc w:val="both"/>
        <w:rPr>
          <w:rFonts w:ascii="Trebuchet MS" w:hAnsi="Trebuchet MS"/>
        </w:rPr>
      </w:pPr>
    </w:p>
    <w:p w14:paraId="41438ADE" w14:textId="369EEC03" w:rsidR="00FD1F1B" w:rsidRDefault="00516BA8" w:rsidP="00637DD7">
      <w:pPr>
        <w:pStyle w:val="Prrafodelista"/>
        <w:shd w:val="clear" w:color="auto" w:fill="FFFFFF"/>
        <w:spacing w:after="0" w:line="240" w:lineRule="auto"/>
        <w:ind w:left="0"/>
        <w:jc w:val="both"/>
        <w:rPr>
          <w:rFonts w:ascii="Trebuchet MS" w:hAnsi="Trebuchet MS"/>
        </w:rPr>
      </w:pPr>
      <w:r>
        <w:rPr>
          <w:rFonts w:ascii="Trebuchet MS" w:hAnsi="Trebuchet MS"/>
        </w:rPr>
        <w:t xml:space="preserve">Por ejemplo, es un perjuicio extrapatrimonial el daño que se produce a bienes no patrimoniales </w:t>
      </w:r>
      <w:r w:rsidR="00617EB6">
        <w:rPr>
          <w:rFonts w:ascii="Trebuchet MS" w:hAnsi="Trebuchet MS"/>
        </w:rPr>
        <w:t>como la</w:t>
      </w:r>
      <w:r w:rsidR="008B64DE">
        <w:rPr>
          <w:rFonts w:ascii="Trebuchet MS" w:hAnsi="Trebuchet MS"/>
        </w:rPr>
        <w:t xml:space="preserve"> libertad o el derecho al trato </w:t>
      </w:r>
      <w:r w:rsidR="00617EB6">
        <w:rPr>
          <w:rFonts w:ascii="Trebuchet MS" w:hAnsi="Trebuchet MS"/>
        </w:rPr>
        <w:t>igualitario,</w:t>
      </w:r>
      <w:r w:rsidR="005738DD">
        <w:rPr>
          <w:rFonts w:ascii="Trebuchet MS" w:hAnsi="Trebuchet MS"/>
        </w:rPr>
        <w:t xml:space="preserve"> como </w:t>
      </w:r>
      <w:r>
        <w:rPr>
          <w:rFonts w:ascii="Trebuchet MS" w:hAnsi="Trebuchet MS"/>
        </w:rPr>
        <w:t xml:space="preserve">el nombre de una persona, su reputación, su imagen, </w:t>
      </w:r>
      <w:r w:rsidR="008B64DE">
        <w:rPr>
          <w:rFonts w:ascii="Trebuchet MS" w:hAnsi="Trebuchet MS"/>
        </w:rPr>
        <w:t xml:space="preserve">su </w:t>
      </w:r>
      <w:r>
        <w:rPr>
          <w:rFonts w:ascii="Trebuchet MS" w:hAnsi="Trebuchet MS"/>
        </w:rPr>
        <w:t>honra o su dignidad de ser humano</w:t>
      </w:r>
      <w:r w:rsidR="001E4AEC">
        <w:rPr>
          <w:rFonts w:ascii="Trebuchet MS" w:hAnsi="Trebuchet MS"/>
        </w:rPr>
        <w:t xml:space="preserve">, </w:t>
      </w:r>
      <w:r w:rsidR="008B64DE">
        <w:rPr>
          <w:rFonts w:ascii="Trebuchet MS" w:hAnsi="Trebuchet MS"/>
        </w:rPr>
        <w:t xml:space="preserve">o a su afectividad. </w:t>
      </w:r>
      <w:r>
        <w:rPr>
          <w:rFonts w:ascii="Trebuchet MS" w:hAnsi="Trebuchet MS"/>
        </w:rPr>
        <w:t xml:space="preserve"> </w:t>
      </w:r>
      <w:r w:rsidR="00016E85">
        <w:rPr>
          <w:rFonts w:ascii="Trebuchet MS" w:hAnsi="Trebuchet MS"/>
        </w:rPr>
        <w:t>“</w:t>
      </w:r>
      <w:r>
        <w:rPr>
          <w:rFonts w:ascii="Trebuchet MS" w:hAnsi="Trebuchet MS"/>
        </w:rPr>
        <w:t>L</w:t>
      </w:r>
      <w:r w:rsidRPr="00857DA0">
        <w:rPr>
          <w:rFonts w:ascii="Trebuchet MS" w:hAnsi="Trebuchet MS"/>
        </w:rPr>
        <w:t>os supuestos que cubre el daño extrapatrimonial hoy en el viejo continente van desde el daño a la integridad física, al perjuicio psíquico, la aflicción, la ansiedad, el temor, la angustia, la pérdida de agrado,</w:t>
      </w:r>
      <w:r w:rsidR="00016E85">
        <w:rPr>
          <w:rFonts w:ascii="Trebuchet MS" w:hAnsi="Trebuchet MS"/>
        </w:rPr>
        <w:t xml:space="preserve"> etc.”</w:t>
      </w:r>
      <w:r w:rsidR="00016E85">
        <w:rPr>
          <w:rStyle w:val="Refdenotaalpie"/>
          <w:rFonts w:ascii="Trebuchet MS" w:hAnsi="Trebuchet MS"/>
        </w:rPr>
        <w:footnoteReference w:id="76"/>
      </w:r>
      <w:r w:rsidRPr="00857DA0">
        <w:rPr>
          <w:rFonts w:ascii="Trebuchet MS" w:hAnsi="Trebuchet MS"/>
        </w:rPr>
        <w:t xml:space="preserve"> </w:t>
      </w:r>
      <w:r w:rsidR="00CE2848">
        <w:rPr>
          <w:rFonts w:ascii="Trebuchet MS" w:hAnsi="Trebuchet MS"/>
        </w:rPr>
        <w:t xml:space="preserve"> </w:t>
      </w:r>
      <w:r w:rsidR="005738DD">
        <w:rPr>
          <w:rFonts w:ascii="Trebuchet MS" w:hAnsi="Trebuchet MS"/>
        </w:rPr>
        <w:t xml:space="preserve">Barros, </w:t>
      </w:r>
      <w:r w:rsidR="00617EB6">
        <w:rPr>
          <w:rFonts w:ascii="Trebuchet MS" w:hAnsi="Trebuchet MS"/>
        </w:rPr>
        <w:t>aclara,</w:t>
      </w:r>
      <w:r w:rsidR="00CE2848">
        <w:rPr>
          <w:rFonts w:ascii="Trebuchet MS" w:hAnsi="Trebuchet MS"/>
        </w:rPr>
        <w:t xml:space="preserve"> sin embargo, que no es </w:t>
      </w:r>
      <w:r w:rsidR="00617EB6">
        <w:rPr>
          <w:rFonts w:ascii="Trebuchet MS" w:hAnsi="Trebuchet MS"/>
        </w:rPr>
        <w:t>necesario,</w:t>
      </w:r>
      <w:r w:rsidR="00940F24">
        <w:rPr>
          <w:rFonts w:ascii="Trebuchet MS" w:hAnsi="Trebuchet MS"/>
        </w:rPr>
        <w:t xml:space="preserve"> sino más bien artificial, hacer clasificaciones o subclasificaciones del perjuicio </w:t>
      </w:r>
      <w:r w:rsidR="00BE26D0">
        <w:rPr>
          <w:rFonts w:ascii="Trebuchet MS" w:hAnsi="Trebuchet MS"/>
        </w:rPr>
        <w:t>extrapatrimonial</w:t>
      </w:r>
      <w:r w:rsidR="00940F24">
        <w:rPr>
          <w:rFonts w:ascii="Trebuchet MS" w:hAnsi="Trebuchet MS"/>
        </w:rPr>
        <w:t xml:space="preserve"> pues </w:t>
      </w:r>
      <w:r w:rsidR="00BE26D0">
        <w:rPr>
          <w:rFonts w:ascii="Trebuchet MS" w:hAnsi="Trebuchet MS"/>
        </w:rPr>
        <w:t>-</w:t>
      </w:r>
      <w:r w:rsidR="00940F24">
        <w:rPr>
          <w:rFonts w:ascii="Trebuchet MS" w:hAnsi="Trebuchet MS"/>
        </w:rPr>
        <w:t>como aclara</w:t>
      </w:r>
      <w:r w:rsidR="00BE26D0">
        <w:rPr>
          <w:rFonts w:ascii="Trebuchet MS" w:hAnsi="Trebuchet MS"/>
        </w:rPr>
        <w:t>-</w:t>
      </w:r>
      <w:r w:rsidR="00645D30">
        <w:rPr>
          <w:rFonts w:ascii="Trebuchet MS" w:hAnsi="Trebuchet MS"/>
        </w:rPr>
        <w:t xml:space="preserve"> </w:t>
      </w:r>
      <w:r w:rsidR="00157EF8" w:rsidRPr="00BE26D0">
        <w:rPr>
          <w:rFonts w:ascii="Trebuchet MS" w:hAnsi="Trebuchet MS"/>
          <w:color w:val="000000"/>
          <w:shd w:val="clear" w:color="auto" w:fill="FFFFFF"/>
        </w:rPr>
        <w:t xml:space="preserve">“los bienes </w:t>
      </w:r>
      <w:r w:rsidR="00617EB6" w:rsidRPr="00BE26D0">
        <w:rPr>
          <w:rFonts w:ascii="Trebuchet MS" w:hAnsi="Trebuchet MS"/>
          <w:color w:val="000000"/>
          <w:shd w:val="clear" w:color="auto" w:fill="FFFFFF"/>
        </w:rPr>
        <w:t>jurídicos</w:t>
      </w:r>
      <w:r w:rsidR="00617EB6" w:rsidRPr="00BE26D0">
        <w:rPr>
          <w:rFonts w:ascii="Trebuchet MS" w:hAnsi="Trebuchet MS"/>
          <w:i/>
          <w:iCs/>
          <w:color w:val="000000"/>
          <w:shd w:val="clear" w:color="auto" w:fill="FFFFFF"/>
        </w:rPr>
        <w:t xml:space="preserve"> extrapatrimoniales</w:t>
      </w:r>
      <w:r w:rsidR="005738DD" w:rsidRPr="00BE26D0">
        <w:rPr>
          <w:rStyle w:val="nfasis"/>
          <w:rFonts w:ascii="Trebuchet MS" w:hAnsi="Trebuchet MS"/>
          <w:i w:val="0"/>
          <w:iCs w:val="0"/>
          <w:color w:val="000000"/>
          <w:shd w:val="clear" w:color="auto" w:fill="FFFFFF"/>
        </w:rPr>
        <w:t xml:space="preserve"> no admiten divisiones demasiado nítidas. Así, una herida sufrida en un accidente puede dejar una cicatriz (perjuicio estético), que puede afectar la vida de relación (perjuicio de sociabilidad) y eventualmente generar dificultades para encontrar pareja (perjuicio sexual) y para formar una familia (perjuicio de afecto familiar), además de los sufrimientos físicos y el deterioro de la autoestima (pretium doloris)</w:t>
      </w:r>
      <w:r w:rsidR="00E75E4B" w:rsidRPr="00BE26D0">
        <w:rPr>
          <w:rStyle w:val="nfasis"/>
          <w:rFonts w:ascii="Trebuchet MS" w:hAnsi="Trebuchet MS"/>
          <w:i w:val="0"/>
          <w:iCs w:val="0"/>
          <w:color w:val="000000"/>
          <w:shd w:val="clear" w:color="auto" w:fill="FFFFFF"/>
        </w:rPr>
        <w:t>”</w:t>
      </w:r>
      <w:r w:rsidR="00E75E4B" w:rsidRPr="00BE26D0">
        <w:rPr>
          <w:rStyle w:val="Refdenotaalpie"/>
          <w:rFonts w:ascii="Trebuchet MS" w:hAnsi="Trebuchet MS"/>
          <w:i/>
          <w:iCs/>
          <w:color w:val="000000"/>
          <w:shd w:val="clear" w:color="auto" w:fill="FFFFFF"/>
        </w:rPr>
        <w:footnoteReference w:id="77"/>
      </w:r>
      <w:r w:rsidR="005738DD" w:rsidRPr="00BE26D0">
        <w:rPr>
          <w:rStyle w:val="nfasis"/>
          <w:rFonts w:ascii="Trebuchet MS" w:hAnsi="Trebuchet MS"/>
          <w:i w:val="0"/>
          <w:iCs w:val="0"/>
          <w:color w:val="000000"/>
          <w:shd w:val="clear" w:color="auto" w:fill="FFFFFF"/>
        </w:rPr>
        <w:t xml:space="preserve">. </w:t>
      </w:r>
      <w:r w:rsidR="007E6309">
        <w:rPr>
          <w:rStyle w:val="nfasis"/>
          <w:rFonts w:ascii="Trebuchet MS" w:hAnsi="Trebuchet MS"/>
          <w:i w:val="0"/>
          <w:iCs w:val="0"/>
          <w:color w:val="000000"/>
          <w:shd w:val="clear" w:color="auto" w:fill="FFFFFF"/>
        </w:rPr>
        <w:t xml:space="preserve">De modo </w:t>
      </w:r>
      <w:r w:rsidR="00617EB6">
        <w:rPr>
          <w:rStyle w:val="nfasis"/>
          <w:rFonts w:ascii="Trebuchet MS" w:hAnsi="Trebuchet MS"/>
          <w:i w:val="0"/>
          <w:iCs w:val="0"/>
          <w:color w:val="000000"/>
          <w:shd w:val="clear" w:color="auto" w:fill="FFFFFF"/>
        </w:rPr>
        <w:t>que,</w:t>
      </w:r>
      <w:r w:rsidR="007E6309">
        <w:rPr>
          <w:rStyle w:val="nfasis"/>
          <w:rFonts w:ascii="Trebuchet MS" w:hAnsi="Trebuchet MS"/>
          <w:i w:val="0"/>
          <w:iCs w:val="0"/>
          <w:color w:val="000000"/>
          <w:shd w:val="clear" w:color="auto" w:fill="FFFFFF"/>
        </w:rPr>
        <w:t xml:space="preserve"> advierte, “</w:t>
      </w:r>
      <w:r w:rsidR="005738DD" w:rsidRPr="00BE26D0">
        <w:rPr>
          <w:rStyle w:val="nfasis"/>
          <w:rFonts w:ascii="Trebuchet MS" w:hAnsi="Trebuchet MS"/>
          <w:i w:val="0"/>
          <w:iCs w:val="0"/>
          <w:color w:val="000000"/>
          <w:shd w:val="clear" w:color="auto" w:fill="FFFFFF"/>
        </w:rPr>
        <w:t>estas categorías en gran medida se superponen, con la consecuencia de que una mecánica de fragmentación trae el riesgo de una doble o triple reparación de un mismo daño</w:t>
      </w:r>
      <w:r w:rsidR="005738DD" w:rsidRPr="00BE26D0">
        <w:rPr>
          <w:rStyle w:val="nfasis"/>
          <w:rFonts w:ascii="Trebuchet MS" w:hAnsi="Trebuchet MS"/>
          <w:color w:val="000000"/>
          <w:shd w:val="clear" w:color="auto" w:fill="FFFFFF"/>
        </w:rPr>
        <w:t>".</w:t>
      </w:r>
      <w:r w:rsidR="005738DD" w:rsidRPr="00BE26D0">
        <w:rPr>
          <w:rFonts w:ascii="Trebuchet MS" w:hAnsi="Trebuchet MS"/>
          <w:color w:val="000000"/>
          <w:shd w:val="clear" w:color="auto" w:fill="FFFFFF"/>
        </w:rPr>
        <w:t> </w:t>
      </w:r>
      <w:r w:rsidR="005738DD" w:rsidRPr="00BE26D0">
        <w:rPr>
          <w:rFonts w:ascii="Trebuchet MS" w:hAnsi="Trebuchet MS"/>
        </w:rPr>
        <w:t xml:space="preserve"> </w:t>
      </w:r>
      <w:r w:rsidR="00EE4F68" w:rsidRPr="00BE26D0">
        <w:rPr>
          <w:rFonts w:ascii="Trebuchet MS" w:hAnsi="Trebuchet MS"/>
        </w:rPr>
        <w:t>Obviam</w:t>
      </w:r>
      <w:r w:rsidR="00433262" w:rsidRPr="00BE26D0">
        <w:rPr>
          <w:rFonts w:ascii="Trebuchet MS" w:hAnsi="Trebuchet MS"/>
        </w:rPr>
        <w:t>e</w:t>
      </w:r>
      <w:r w:rsidR="00EE4F68" w:rsidRPr="00BE26D0">
        <w:rPr>
          <w:rFonts w:ascii="Trebuchet MS" w:hAnsi="Trebuchet MS"/>
        </w:rPr>
        <w:t xml:space="preserve">nte, se debe probar que </w:t>
      </w:r>
      <w:r w:rsidR="00617EB6" w:rsidRPr="00BE26D0">
        <w:rPr>
          <w:rFonts w:ascii="Trebuchet MS" w:hAnsi="Trebuchet MS"/>
        </w:rPr>
        <w:t>aquellas</w:t>
      </w:r>
      <w:r w:rsidR="00433262" w:rsidRPr="00BE26D0">
        <w:rPr>
          <w:rFonts w:ascii="Trebuchet MS" w:hAnsi="Trebuchet MS"/>
        </w:rPr>
        <w:t xml:space="preserve"> afectaciones </w:t>
      </w:r>
      <w:r w:rsidR="00596A71" w:rsidRPr="00BE26D0">
        <w:rPr>
          <w:rFonts w:ascii="Trebuchet MS" w:hAnsi="Trebuchet MS"/>
        </w:rPr>
        <w:t xml:space="preserve">o </w:t>
      </w:r>
      <w:r w:rsidR="00B63A86" w:rsidRPr="00BE26D0">
        <w:rPr>
          <w:rFonts w:ascii="Trebuchet MS" w:hAnsi="Trebuchet MS"/>
        </w:rPr>
        <w:t xml:space="preserve">padecimientos son consecuencia directa y necesaria del </w:t>
      </w:r>
      <w:r w:rsidR="00857DA0" w:rsidRPr="00BE26D0">
        <w:rPr>
          <w:rFonts w:ascii="Trebuchet MS" w:hAnsi="Trebuchet MS"/>
        </w:rPr>
        <w:t>hecho causal.</w:t>
      </w:r>
    </w:p>
    <w:p w14:paraId="51C7AC38" w14:textId="77777777" w:rsidR="00123533" w:rsidRPr="00BE26D0" w:rsidRDefault="00123533" w:rsidP="00637DD7">
      <w:pPr>
        <w:pStyle w:val="Prrafodelista"/>
        <w:shd w:val="clear" w:color="auto" w:fill="FFFFFF"/>
        <w:spacing w:after="0" w:line="240" w:lineRule="auto"/>
        <w:ind w:left="0"/>
        <w:jc w:val="both"/>
        <w:rPr>
          <w:rFonts w:ascii="Trebuchet MS" w:hAnsi="Trebuchet MS"/>
        </w:rPr>
      </w:pPr>
    </w:p>
    <w:p w14:paraId="3D4E8A67" w14:textId="77FEA5A1" w:rsidR="00637DD7" w:rsidRPr="006A09E8" w:rsidRDefault="007E6309" w:rsidP="00637DD7">
      <w:pPr>
        <w:pStyle w:val="Prrafodelista"/>
        <w:shd w:val="clear" w:color="auto" w:fill="FFFFFF"/>
        <w:spacing w:after="0" w:line="240" w:lineRule="auto"/>
        <w:ind w:left="0"/>
        <w:jc w:val="both"/>
        <w:rPr>
          <w:rFonts w:ascii="Trebuchet MS" w:hAnsi="Trebuchet MS"/>
        </w:rPr>
      </w:pPr>
      <w:r>
        <w:rPr>
          <w:rFonts w:ascii="Trebuchet MS" w:hAnsi="Trebuchet MS"/>
        </w:rPr>
        <w:t xml:space="preserve">La </w:t>
      </w:r>
      <w:r w:rsidR="00F33C3C">
        <w:rPr>
          <w:rFonts w:ascii="Trebuchet MS" w:hAnsi="Trebuchet MS"/>
        </w:rPr>
        <w:t>C</w:t>
      </w:r>
      <w:r>
        <w:rPr>
          <w:rFonts w:ascii="Trebuchet MS" w:hAnsi="Trebuchet MS"/>
        </w:rPr>
        <w:t xml:space="preserve">orte Suprema, por su parte, </w:t>
      </w:r>
      <w:r w:rsidR="00617EB6">
        <w:rPr>
          <w:rFonts w:ascii="Trebuchet MS" w:hAnsi="Trebuchet MS"/>
        </w:rPr>
        <w:t>ha recogido</w:t>
      </w:r>
      <w:r>
        <w:rPr>
          <w:rFonts w:ascii="Trebuchet MS" w:hAnsi="Trebuchet MS"/>
        </w:rPr>
        <w:t xml:space="preserve"> esta noción amplia</w:t>
      </w:r>
      <w:r w:rsidR="00F33C3C">
        <w:rPr>
          <w:rFonts w:ascii="Trebuchet MS" w:hAnsi="Trebuchet MS"/>
        </w:rPr>
        <w:t xml:space="preserve">. Ha señalado </w:t>
      </w:r>
      <w:r w:rsidR="00617EB6">
        <w:rPr>
          <w:rFonts w:ascii="Trebuchet MS" w:hAnsi="Trebuchet MS"/>
        </w:rPr>
        <w:t>que “</w:t>
      </w:r>
      <w:r w:rsidR="00F33C3C">
        <w:rPr>
          <w:rFonts w:ascii="Trebuchet MS" w:hAnsi="Trebuchet MS"/>
        </w:rPr>
        <w:t>s</w:t>
      </w:r>
      <w:r w:rsidR="00637DD7" w:rsidRPr="006A09E8">
        <w:rPr>
          <w:rFonts w:ascii="Trebuchet MS" w:hAnsi="Trebuchet MS"/>
        </w:rPr>
        <w:t xml:space="preserve">i bien en nuestra legislación no se encuentra un concepto unívoco de lo que se entiende por daño moral, su acepción más restringida elaborada por la doctrina se relaciona con el pesar, dolor o aflicción que experimenta la víctima y que se conoce como pretium doloris. Sin embargo, esta visión ha dado paso, tanto en la doctrina como en la jurisprudencia, a considerar una concepción más amplia de tal concepto, a fin de reparar todas las especies de perjuicios morales y no sólo el pretium doloris, toda vez que en cada una de ellas hay atentados a intereses extrapatrimoniales diversos. Así, la profesora Carmen Domínguez Hidalgo ha manifestado sobre el punto: "Estamos con aquellos que conciben el daño moral del modo más amplio posible, incluyendo allí </w:t>
      </w:r>
      <w:r w:rsidR="00637DD7" w:rsidRPr="00F33C3C">
        <w:rPr>
          <w:rFonts w:ascii="Trebuchet MS" w:hAnsi="Trebuchet MS"/>
        </w:rPr>
        <w:t>todo daño a la persona en sí misma -física o psíquica, como todo atentado contra sus intereses extrapatrimoniales</w:t>
      </w:r>
      <w:r w:rsidR="00BB0A5B">
        <w:rPr>
          <w:rFonts w:ascii="Trebuchet MS" w:hAnsi="Trebuchet MS"/>
        </w:rPr>
        <w:t>”</w:t>
      </w:r>
      <w:r w:rsidR="00637DD7" w:rsidRPr="00F33C3C">
        <w:rPr>
          <w:rFonts w:ascii="Trebuchet MS" w:hAnsi="Trebuchet MS"/>
        </w:rPr>
        <w:t>.</w:t>
      </w:r>
      <w:r w:rsidR="00637DD7" w:rsidRPr="006A09E8">
        <w:rPr>
          <w:rFonts w:ascii="Trebuchet MS" w:hAnsi="Trebuchet MS"/>
        </w:rPr>
        <w:t xml:space="preserve"> Y agrega: "En suma, el daño moral estará constituido por el menoscabo de un bien no patrimonial que irroga una lesión a un interés moral por </w:t>
      </w:r>
      <w:r w:rsidR="00F33C3C">
        <w:rPr>
          <w:rFonts w:ascii="Trebuchet MS" w:hAnsi="Trebuchet MS"/>
        </w:rPr>
        <w:t xml:space="preserve">parte de </w:t>
      </w:r>
      <w:r w:rsidR="00637DD7" w:rsidRPr="006A09E8">
        <w:rPr>
          <w:rFonts w:ascii="Trebuchet MS" w:hAnsi="Trebuchet MS"/>
        </w:rPr>
        <w:t xml:space="preserve">una </w:t>
      </w:r>
      <w:r w:rsidR="00191C9F">
        <w:rPr>
          <w:rFonts w:ascii="Trebuchet MS" w:hAnsi="Trebuchet MS"/>
        </w:rPr>
        <w:t xml:space="preserve">persona </w:t>
      </w:r>
      <w:r w:rsidR="00637DD7" w:rsidRPr="006A09E8">
        <w:rPr>
          <w:rFonts w:ascii="Trebuchet MS" w:hAnsi="Trebuchet MS"/>
        </w:rPr>
        <w:t>que se encontraba obligada a respetarlo"</w:t>
      </w:r>
      <w:r w:rsidR="00191C9F">
        <w:rPr>
          <w:rStyle w:val="Refdenotaalpie"/>
          <w:rFonts w:ascii="Trebuchet MS" w:hAnsi="Trebuchet MS"/>
        </w:rPr>
        <w:footnoteReference w:id="78"/>
      </w:r>
      <w:r w:rsidR="00637DD7" w:rsidRPr="006A09E8">
        <w:rPr>
          <w:rFonts w:ascii="Trebuchet MS" w:hAnsi="Trebuchet MS"/>
        </w:rPr>
        <w:t xml:space="preserve">. </w:t>
      </w:r>
    </w:p>
    <w:p w14:paraId="5F1DA792" w14:textId="77777777" w:rsidR="00637DD7" w:rsidRPr="006A09E8" w:rsidRDefault="00637DD7" w:rsidP="00637DD7">
      <w:pPr>
        <w:pStyle w:val="Prrafodelista"/>
        <w:shd w:val="clear" w:color="auto" w:fill="FFFFFF"/>
        <w:spacing w:after="0" w:line="240" w:lineRule="auto"/>
        <w:ind w:left="0"/>
        <w:jc w:val="both"/>
        <w:rPr>
          <w:rFonts w:ascii="Trebuchet MS" w:hAnsi="Trebuchet MS"/>
        </w:rPr>
      </w:pPr>
    </w:p>
    <w:p w14:paraId="0FB26F3F" w14:textId="331329B0" w:rsidR="00637DD7" w:rsidRDefault="006819BD" w:rsidP="00637DD7">
      <w:pPr>
        <w:pStyle w:val="Prrafodelista"/>
        <w:shd w:val="clear" w:color="auto" w:fill="FFFFFF"/>
        <w:spacing w:after="0" w:line="240" w:lineRule="auto"/>
        <w:ind w:left="0"/>
        <w:jc w:val="both"/>
        <w:rPr>
          <w:rFonts w:ascii="Trebuchet MS" w:hAnsi="Trebuchet MS"/>
        </w:rPr>
      </w:pPr>
      <w:r>
        <w:rPr>
          <w:rFonts w:ascii="Trebuchet MS" w:hAnsi="Trebuchet MS"/>
        </w:rPr>
        <w:t xml:space="preserve">Además de lo señalado por la doctrina, la Corte también </w:t>
      </w:r>
      <w:r w:rsidR="00362F1F">
        <w:rPr>
          <w:rFonts w:ascii="Trebuchet MS" w:hAnsi="Trebuchet MS"/>
        </w:rPr>
        <w:t>f</w:t>
      </w:r>
      <w:r>
        <w:rPr>
          <w:rFonts w:ascii="Trebuchet MS" w:hAnsi="Trebuchet MS"/>
        </w:rPr>
        <w:t xml:space="preserve">unda su postura </w:t>
      </w:r>
      <w:r w:rsidR="00362F1F">
        <w:rPr>
          <w:rFonts w:ascii="Trebuchet MS" w:hAnsi="Trebuchet MS"/>
        </w:rPr>
        <w:t xml:space="preserve">amplia </w:t>
      </w:r>
      <w:r>
        <w:rPr>
          <w:rFonts w:ascii="Trebuchet MS" w:hAnsi="Trebuchet MS"/>
        </w:rPr>
        <w:t>acerca del a</w:t>
      </w:r>
      <w:r w:rsidR="00637DD7" w:rsidRPr="006A09E8">
        <w:rPr>
          <w:rFonts w:ascii="Trebuchet MS" w:hAnsi="Trebuchet MS"/>
        </w:rPr>
        <w:t xml:space="preserve">lcance del daño </w:t>
      </w:r>
      <w:r w:rsidR="00617EB6" w:rsidRPr="006A09E8">
        <w:rPr>
          <w:rFonts w:ascii="Trebuchet MS" w:hAnsi="Trebuchet MS"/>
        </w:rPr>
        <w:t>moral</w:t>
      </w:r>
      <w:r w:rsidR="00617EB6">
        <w:rPr>
          <w:rFonts w:ascii="Trebuchet MS" w:hAnsi="Trebuchet MS"/>
        </w:rPr>
        <w:t>,</w:t>
      </w:r>
      <w:r>
        <w:rPr>
          <w:rFonts w:ascii="Trebuchet MS" w:hAnsi="Trebuchet MS"/>
        </w:rPr>
        <w:t xml:space="preserve"> en lo </w:t>
      </w:r>
      <w:r w:rsidR="00617EB6">
        <w:rPr>
          <w:rFonts w:ascii="Trebuchet MS" w:hAnsi="Trebuchet MS"/>
        </w:rPr>
        <w:t xml:space="preserve">dispuesto </w:t>
      </w:r>
      <w:r w:rsidR="00617EB6" w:rsidRPr="006A09E8">
        <w:rPr>
          <w:rFonts w:ascii="Trebuchet MS" w:hAnsi="Trebuchet MS"/>
        </w:rPr>
        <w:t>en</w:t>
      </w:r>
      <w:r w:rsidR="00362F1F" w:rsidRPr="006A09E8">
        <w:rPr>
          <w:rFonts w:ascii="Trebuchet MS" w:hAnsi="Trebuchet MS"/>
        </w:rPr>
        <w:t xml:space="preserve"> materia sanitaria</w:t>
      </w:r>
      <w:r w:rsidR="00362F1F">
        <w:rPr>
          <w:rFonts w:ascii="Trebuchet MS" w:hAnsi="Trebuchet MS"/>
        </w:rPr>
        <w:t xml:space="preserve"> </w:t>
      </w:r>
      <w:r>
        <w:rPr>
          <w:rFonts w:ascii="Trebuchet MS" w:hAnsi="Trebuchet MS"/>
        </w:rPr>
        <w:t xml:space="preserve">en el articulo 41 </w:t>
      </w:r>
      <w:r w:rsidRPr="006A09E8">
        <w:rPr>
          <w:rFonts w:ascii="Trebuchet MS" w:hAnsi="Trebuchet MS"/>
        </w:rPr>
        <w:t>de la Ley N</w:t>
      </w:r>
      <w:r w:rsidR="00362F1F">
        <w:rPr>
          <w:rFonts w:ascii="Trebuchet MS" w:hAnsi="Trebuchet MS"/>
        </w:rPr>
        <w:t xml:space="preserve"> </w:t>
      </w:r>
      <w:r w:rsidRPr="006A09E8">
        <w:rPr>
          <w:rFonts w:ascii="Trebuchet MS" w:hAnsi="Trebuchet MS"/>
        </w:rPr>
        <w:t xml:space="preserve">° 19.966 </w:t>
      </w:r>
      <w:r w:rsidR="00362F1F">
        <w:rPr>
          <w:rFonts w:ascii="Trebuchet MS" w:hAnsi="Trebuchet MS"/>
        </w:rPr>
        <w:t xml:space="preserve">que </w:t>
      </w:r>
      <w:r w:rsidR="00637DD7" w:rsidRPr="006A09E8">
        <w:rPr>
          <w:rFonts w:ascii="Trebuchet MS" w:hAnsi="Trebuchet MS"/>
        </w:rPr>
        <w:t xml:space="preserve">preceptúa: “La indemnización por el daño moral será fijada por el juez considerando la gravedad del daño </w:t>
      </w:r>
      <w:r w:rsidR="00637DD7" w:rsidRPr="00093B9D">
        <w:rPr>
          <w:rFonts w:ascii="Trebuchet MS" w:hAnsi="Trebuchet MS"/>
        </w:rPr>
        <w:t>y la modificación de las condiciones de existencia del afectado con el daño producido,</w:t>
      </w:r>
      <w:r w:rsidR="00637DD7" w:rsidRPr="00362F1F">
        <w:rPr>
          <w:rFonts w:ascii="Trebuchet MS" w:hAnsi="Trebuchet MS"/>
          <w:u w:val="single"/>
        </w:rPr>
        <w:t xml:space="preserve"> </w:t>
      </w:r>
      <w:r w:rsidR="00637DD7" w:rsidRPr="00362F1F">
        <w:rPr>
          <w:rFonts w:ascii="Trebuchet MS" w:hAnsi="Trebuchet MS"/>
        </w:rPr>
        <w:t>atendiendo su edad y condiciones físicas.”</w:t>
      </w:r>
      <w:r w:rsidR="00362F1F">
        <w:rPr>
          <w:rStyle w:val="Refdenotaalpie"/>
          <w:rFonts w:ascii="Trebuchet MS" w:hAnsi="Trebuchet MS"/>
        </w:rPr>
        <w:footnoteReference w:id="79"/>
      </w:r>
    </w:p>
    <w:p w14:paraId="1F5B494C" w14:textId="0C17BB55" w:rsidR="001144AF" w:rsidRDefault="001144AF" w:rsidP="00637DD7">
      <w:pPr>
        <w:pStyle w:val="Prrafodelista"/>
        <w:shd w:val="clear" w:color="auto" w:fill="FFFFFF"/>
        <w:spacing w:after="0" w:line="240" w:lineRule="auto"/>
        <w:ind w:left="0"/>
        <w:jc w:val="both"/>
        <w:rPr>
          <w:rFonts w:ascii="Trebuchet MS" w:hAnsi="Trebuchet MS"/>
        </w:rPr>
      </w:pPr>
    </w:p>
    <w:p w14:paraId="22322D9D" w14:textId="05126F21" w:rsidR="00637DD7" w:rsidRPr="006A09E8" w:rsidRDefault="00617EB6" w:rsidP="00B420AE">
      <w:pPr>
        <w:pStyle w:val="Prrafodelista"/>
        <w:shd w:val="clear" w:color="auto" w:fill="FFFFFF"/>
        <w:spacing w:after="0" w:line="240" w:lineRule="auto"/>
        <w:ind w:left="0"/>
        <w:jc w:val="both"/>
        <w:rPr>
          <w:rFonts w:ascii="Trebuchet MS" w:hAnsi="Trebuchet MS"/>
        </w:rPr>
      </w:pPr>
      <w:r>
        <w:rPr>
          <w:rFonts w:ascii="Trebuchet MS" w:hAnsi="Trebuchet MS"/>
        </w:rPr>
        <w:t>Finalmente,</w:t>
      </w:r>
      <w:r w:rsidR="001144AF">
        <w:rPr>
          <w:rFonts w:ascii="Trebuchet MS" w:hAnsi="Trebuchet MS"/>
        </w:rPr>
        <w:t xml:space="preserve"> respecto de </w:t>
      </w:r>
      <w:r>
        <w:rPr>
          <w:rFonts w:ascii="Trebuchet MS" w:hAnsi="Trebuchet MS"/>
        </w:rPr>
        <w:t>la legitimación</w:t>
      </w:r>
      <w:r w:rsidR="001144AF">
        <w:rPr>
          <w:rFonts w:ascii="Trebuchet MS" w:hAnsi="Trebuchet MS"/>
        </w:rPr>
        <w:t xml:space="preserve"> </w:t>
      </w:r>
      <w:r>
        <w:rPr>
          <w:rFonts w:ascii="Trebuchet MS" w:hAnsi="Trebuchet MS"/>
        </w:rPr>
        <w:t xml:space="preserve">para </w:t>
      </w:r>
      <w:r w:rsidRPr="006A09E8">
        <w:rPr>
          <w:rFonts w:ascii="Trebuchet MS" w:hAnsi="Trebuchet MS"/>
        </w:rPr>
        <w:t>la</w:t>
      </w:r>
      <w:r w:rsidR="00637DD7" w:rsidRPr="006A09E8">
        <w:rPr>
          <w:rFonts w:ascii="Trebuchet MS" w:hAnsi="Trebuchet MS"/>
        </w:rPr>
        <w:t xml:space="preserve"> determinación del daño moral</w:t>
      </w:r>
      <w:r w:rsidR="001144AF">
        <w:rPr>
          <w:rFonts w:ascii="Trebuchet MS" w:hAnsi="Trebuchet MS"/>
        </w:rPr>
        <w:t>, la Corte</w:t>
      </w:r>
      <w:r w:rsidR="00E646C2">
        <w:rPr>
          <w:rFonts w:ascii="Trebuchet MS" w:hAnsi="Trebuchet MS"/>
        </w:rPr>
        <w:t xml:space="preserve"> señala que “e</w:t>
      </w:r>
      <w:r w:rsidR="00637DD7" w:rsidRPr="006A09E8">
        <w:rPr>
          <w:rFonts w:ascii="Trebuchet MS" w:hAnsi="Trebuchet MS"/>
        </w:rPr>
        <w:t xml:space="preserve">ste alcance del daño moral </w:t>
      </w:r>
      <w:r>
        <w:rPr>
          <w:rFonts w:ascii="Trebuchet MS" w:hAnsi="Trebuchet MS"/>
        </w:rPr>
        <w:t>[…</w:t>
      </w:r>
      <w:r w:rsidR="00B420AE">
        <w:rPr>
          <w:rFonts w:ascii="Trebuchet MS" w:hAnsi="Trebuchet MS"/>
        </w:rPr>
        <w:t>]</w:t>
      </w:r>
      <w:r w:rsidR="00637DD7" w:rsidRPr="006A09E8">
        <w:rPr>
          <w:rFonts w:ascii="Trebuchet MS" w:hAnsi="Trebuchet MS"/>
        </w:rPr>
        <w:t xml:space="preserve"> constituye una apreciación subjetiva que queda entregada sólo a criterio y discernimiento de [los jueces de la instancia], valoración que no acepta revisión de [la Corte Suprema], por la vía de la casación en el fondo”</w:t>
      </w:r>
      <w:r w:rsidR="00B420AE">
        <w:rPr>
          <w:rStyle w:val="Refdenotaalpie"/>
          <w:rFonts w:ascii="Trebuchet MS" w:hAnsi="Trebuchet MS"/>
        </w:rPr>
        <w:footnoteReference w:id="80"/>
      </w:r>
      <w:r w:rsidR="00637DD7" w:rsidRPr="006A09E8">
        <w:rPr>
          <w:rFonts w:ascii="Trebuchet MS" w:hAnsi="Trebuchet MS"/>
        </w:rPr>
        <w:t xml:space="preserve">. </w:t>
      </w:r>
    </w:p>
    <w:p w14:paraId="512A6740" w14:textId="77777777" w:rsidR="00637DD7" w:rsidRPr="006A09E8" w:rsidRDefault="00637DD7" w:rsidP="00637DD7">
      <w:pPr>
        <w:pStyle w:val="Prrafodelista"/>
        <w:shd w:val="clear" w:color="auto" w:fill="FFFFFF"/>
        <w:spacing w:after="0" w:line="240" w:lineRule="auto"/>
        <w:ind w:left="0"/>
        <w:jc w:val="both"/>
        <w:rPr>
          <w:rFonts w:ascii="Trebuchet MS" w:hAnsi="Trebuchet MS"/>
        </w:rPr>
      </w:pPr>
    </w:p>
    <w:p w14:paraId="7A64505C" w14:textId="43E826C8" w:rsidR="000E3548" w:rsidRDefault="004E6F32" w:rsidP="00637DD7">
      <w:pPr>
        <w:pStyle w:val="Prrafodelista"/>
        <w:shd w:val="clear" w:color="auto" w:fill="FFFFFF"/>
        <w:spacing w:after="0" w:line="240" w:lineRule="auto"/>
        <w:ind w:left="0"/>
        <w:jc w:val="both"/>
        <w:rPr>
          <w:rFonts w:ascii="Trebuchet MS" w:hAnsi="Trebuchet MS"/>
        </w:rPr>
      </w:pPr>
      <w:r>
        <w:rPr>
          <w:rFonts w:ascii="Trebuchet MS" w:hAnsi="Trebuchet MS"/>
        </w:rPr>
        <w:t xml:space="preserve">Por su parte, la </w:t>
      </w:r>
      <w:r w:rsidR="00637DD7" w:rsidRPr="006A09E8">
        <w:rPr>
          <w:rFonts w:ascii="Trebuchet MS" w:hAnsi="Trebuchet MS"/>
        </w:rPr>
        <w:t>pérdida de chance u oportunidad,</w:t>
      </w:r>
      <w:r w:rsidR="00502074">
        <w:rPr>
          <w:rFonts w:ascii="Trebuchet MS" w:hAnsi="Trebuchet MS"/>
        </w:rPr>
        <w:t xml:space="preserve"> </w:t>
      </w:r>
      <w:r w:rsidRPr="006A09E8">
        <w:rPr>
          <w:rFonts w:ascii="Trebuchet MS" w:hAnsi="Trebuchet MS"/>
        </w:rPr>
        <w:t xml:space="preserve">se trata del caso de una víctima que tenía oportunidades de obtener un bien ‘aleatorio’ que estaba en juego </w:t>
      </w:r>
      <w:r>
        <w:rPr>
          <w:rFonts w:ascii="Trebuchet MS" w:hAnsi="Trebuchet MS"/>
        </w:rPr>
        <w:t xml:space="preserve">, por ejemplo </w:t>
      </w:r>
      <w:r w:rsidRPr="006A09E8">
        <w:rPr>
          <w:rFonts w:ascii="Trebuchet MS" w:hAnsi="Trebuchet MS"/>
        </w:rPr>
        <w:t>ganar un proceso</w:t>
      </w:r>
      <w:r>
        <w:rPr>
          <w:rFonts w:ascii="Trebuchet MS" w:hAnsi="Trebuchet MS"/>
        </w:rPr>
        <w:t xml:space="preserve"> judicial</w:t>
      </w:r>
      <w:r w:rsidRPr="006A09E8">
        <w:rPr>
          <w:rFonts w:ascii="Trebuchet MS" w:hAnsi="Trebuchet MS"/>
        </w:rPr>
        <w:t xml:space="preserve">, </w:t>
      </w:r>
      <w:r>
        <w:rPr>
          <w:rFonts w:ascii="Trebuchet MS" w:hAnsi="Trebuchet MS"/>
        </w:rPr>
        <w:t xml:space="preserve">una licitación, </w:t>
      </w:r>
      <w:r w:rsidRPr="006A09E8">
        <w:rPr>
          <w:rFonts w:ascii="Trebuchet MS" w:hAnsi="Trebuchet MS"/>
        </w:rPr>
        <w:t xml:space="preserve">recobrar la salud, cerrar un negocio, acceder a una profesión, </w:t>
      </w:r>
      <w:r>
        <w:rPr>
          <w:rFonts w:ascii="Trebuchet MS" w:hAnsi="Trebuchet MS"/>
        </w:rPr>
        <w:t>acceder a</w:t>
      </w:r>
      <w:r w:rsidR="00F72A06">
        <w:rPr>
          <w:rFonts w:ascii="Trebuchet MS" w:hAnsi="Trebuchet MS"/>
        </w:rPr>
        <w:t xml:space="preserve"> un cargo mediante concurso público, </w:t>
      </w:r>
      <w:r w:rsidRPr="006A09E8">
        <w:rPr>
          <w:rFonts w:ascii="Trebuchet MS" w:hAnsi="Trebuchet MS"/>
        </w:rPr>
        <w:t>etcétera</w:t>
      </w:r>
      <w:r w:rsidR="00F72A06">
        <w:rPr>
          <w:rFonts w:ascii="Trebuchet MS" w:hAnsi="Trebuchet MS"/>
        </w:rPr>
        <w:t>, y</w:t>
      </w:r>
      <w:r w:rsidRPr="006A09E8">
        <w:rPr>
          <w:rFonts w:ascii="Trebuchet MS" w:hAnsi="Trebuchet MS"/>
        </w:rPr>
        <w:t xml:space="preserve"> el</w:t>
      </w:r>
      <w:r w:rsidR="00F72A06">
        <w:rPr>
          <w:rFonts w:ascii="Trebuchet MS" w:hAnsi="Trebuchet MS"/>
        </w:rPr>
        <w:t xml:space="preserve"> servicio</w:t>
      </w:r>
      <w:r w:rsidRPr="006A09E8">
        <w:rPr>
          <w:rFonts w:ascii="Trebuchet MS" w:hAnsi="Trebuchet MS"/>
        </w:rPr>
        <w:t xml:space="preserve">, al cometer el hecho ilícito, destruyó ese potencial de oportunidades </w:t>
      </w:r>
      <w:r w:rsidR="00F72A06">
        <w:rPr>
          <w:rFonts w:ascii="Trebuchet MS" w:hAnsi="Trebuchet MS"/>
        </w:rPr>
        <w:t>, por ejemplo,</w:t>
      </w:r>
      <w:r w:rsidR="00D104E1">
        <w:rPr>
          <w:rFonts w:ascii="Trebuchet MS" w:hAnsi="Trebuchet MS"/>
        </w:rPr>
        <w:t xml:space="preserve"> en el caso de que un consultorio de la Corporación de Asistencia Judicial que </w:t>
      </w:r>
      <w:r w:rsidR="00EC5971">
        <w:rPr>
          <w:rFonts w:ascii="Trebuchet MS" w:hAnsi="Trebuchet MS"/>
        </w:rPr>
        <w:t>no aportó la</w:t>
      </w:r>
      <w:r w:rsidR="00A445C1">
        <w:rPr>
          <w:rFonts w:ascii="Trebuchet MS" w:hAnsi="Trebuchet MS"/>
        </w:rPr>
        <w:t xml:space="preserve">s </w:t>
      </w:r>
      <w:r w:rsidR="00EC5971">
        <w:rPr>
          <w:rFonts w:ascii="Trebuchet MS" w:hAnsi="Trebuchet MS"/>
        </w:rPr>
        <w:t>pru</w:t>
      </w:r>
      <w:r w:rsidR="00A445C1">
        <w:rPr>
          <w:rFonts w:ascii="Trebuchet MS" w:hAnsi="Trebuchet MS"/>
        </w:rPr>
        <w:t>e</w:t>
      </w:r>
      <w:r w:rsidR="00EC5971">
        <w:rPr>
          <w:rFonts w:ascii="Trebuchet MS" w:hAnsi="Trebuchet MS"/>
        </w:rPr>
        <w:t xml:space="preserve">bas u </w:t>
      </w:r>
      <w:r w:rsidRPr="006A09E8">
        <w:rPr>
          <w:rFonts w:ascii="Trebuchet MS" w:hAnsi="Trebuchet MS"/>
        </w:rPr>
        <w:t>olvidó apelar</w:t>
      </w:r>
      <w:r w:rsidR="00D104E1">
        <w:rPr>
          <w:rFonts w:ascii="Trebuchet MS" w:hAnsi="Trebuchet MS"/>
        </w:rPr>
        <w:t xml:space="preserve"> en un </w:t>
      </w:r>
      <w:r w:rsidR="00EC5971">
        <w:rPr>
          <w:rFonts w:ascii="Trebuchet MS" w:hAnsi="Trebuchet MS"/>
        </w:rPr>
        <w:t>juicio</w:t>
      </w:r>
      <w:r w:rsidRPr="006A09E8">
        <w:rPr>
          <w:rFonts w:ascii="Trebuchet MS" w:hAnsi="Trebuchet MS"/>
        </w:rPr>
        <w:t xml:space="preserve">, </w:t>
      </w:r>
      <w:r w:rsidR="00A445C1">
        <w:rPr>
          <w:rFonts w:ascii="Trebuchet MS" w:hAnsi="Trebuchet MS"/>
        </w:rPr>
        <w:t xml:space="preserve">un Consultorio de Salud que </w:t>
      </w:r>
      <w:r w:rsidRPr="006A09E8">
        <w:rPr>
          <w:rFonts w:ascii="Trebuchet MS" w:hAnsi="Trebuchet MS"/>
        </w:rPr>
        <w:t>no efectuó un examen</w:t>
      </w:r>
      <w:r w:rsidR="00A445C1">
        <w:rPr>
          <w:rFonts w:ascii="Trebuchet MS" w:hAnsi="Trebuchet MS"/>
        </w:rPr>
        <w:t xml:space="preserve"> medico o administró una vacuna equivocada</w:t>
      </w:r>
      <w:r w:rsidRPr="006A09E8">
        <w:rPr>
          <w:rFonts w:ascii="Trebuchet MS" w:hAnsi="Trebuchet MS"/>
        </w:rPr>
        <w:t xml:space="preserve">, </w:t>
      </w:r>
      <w:r w:rsidR="00A445C1">
        <w:rPr>
          <w:rFonts w:ascii="Trebuchet MS" w:hAnsi="Trebuchet MS"/>
        </w:rPr>
        <w:t>un servicio</w:t>
      </w:r>
      <w:r w:rsidR="0091247E">
        <w:rPr>
          <w:rFonts w:ascii="Trebuchet MS" w:hAnsi="Trebuchet MS"/>
        </w:rPr>
        <w:t xml:space="preserve"> que </w:t>
      </w:r>
      <w:r w:rsidRPr="006A09E8">
        <w:rPr>
          <w:rFonts w:ascii="Trebuchet MS" w:hAnsi="Trebuchet MS"/>
        </w:rPr>
        <w:t xml:space="preserve">omitió certificar un documento, </w:t>
      </w:r>
      <w:r w:rsidR="0091247E">
        <w:rPr>
          <w:rFonts w:ascii="Trebuchet MS" w:hAnsi="Trebuchet MS"/>
        </w:rPr>
        <w:t xml:space="preserve">o la inclusión de un postulante </w:t>
      </w:r>
      <w:r w:rsidR="000E3548">
        <w:rPr>
          <w:rFonts w:ascii="Trebuchet MS" w:hAnsi="Trebuchet MS"/>
        </w:rPr>
        <w:t xml:space="preserve">a un concurso o a una licitación, </w:t>
      </w:r>
      <w:r w:rsidRPr="006A09E8">
        <w:rPr>
          <w:rFonts w:ascii="Trebuchet MS" w:hAnsi="Trebuchet MS"/>
        </w:rPr>
        <w:t>lesion</w:t>
      </w:r>
      <w:r w:rsidR="000E3548">
        <w:rPr>
          <w:rFonts w:ascii="Trebuchet MS" w:hAnsi="Trebuchet MS"/>
        </w:rPr>
        <w:t>ando</w:t>
      </w:r>
      <w:r w:rsidRPr="006A09E8">
        <w:rPr>
          <w:rFonts w:ascii="Trebuchet MS" w:hAnsi="Trebuchet MS"/>
        </w:rPr>
        <w:t xml:space="preserve"> al postulante, etcétera). </w:t>
      </w:r>
      <w:r w:rsidR="000E3548">
        <w:rPr>
          <w:rFonts w:ascii="Trebuchet MS" w:hAnsi="Trebuchet MS"/>
        </w:rPr>
        <w:t>“</w:t>
      </w:r>
      <w:r w:rsidRPr="006A09E8">
        <w:rPr>
          <w:rFonts w:ascii="Trebuchet MS" w:hAnsi="Trebuchet MS"/>
        </w:rPr>
        <w:t>La víctima en todos estos casos se encontraba inmersa en un proceso que podía arrojarle un beneficio o evitarle una pérdida (tratamiento médico, apelación de una sentencia, preparación de un examen, etcétera), y el agente destruyó por completo con su negligencia las chances que la víctima tenía para lograr tal ventaja”</w:t>
      </w:r>
      <w:r w:rsidR="000E3548">
        <w:rPr>
          <w:rStyle w:val="Refdenotaalpie"/>
          <w:rFonts w:ascii="Trebuchet MS" w:hAnsi="Trebuchet MS"/>
        </w:rPr>
        <w:footnoteReference w:id="81"/>
      </w:r>
      <w:r w:rsidR="000E3548">
        <w:rPr>
          <w:rFonts w:ascii="Trebuchet MS" w:hAnsi="Trebuchet MS"/>
        </w:rPr>
        <w:t>.</w:t>
      </w:r>
    </w:p>
    <w:p w14:paraId="3C249CE6" w14:textId="77777777" w:rsidR="00310C5F" w:rsidRDefault="00310C5F" w:rsidP="00637DD7">
      <w:pPr>
        <w:pStyle w:val="Prrafodelista"/>
        <w:shd w:val="clear" w:color="auto" w:fill="FFFFFF"/>
        <w:spacing w:after="0" w:line="240" w:lineRule="auto"/>
        <w:ind w:left="0"/>
        <w:jc w:val="both"/>
        <w:rPr>
          <w:rFonts w:ascii="Trebuchet MS" w:hAnsi="Trebuchet MS"/>
        </w:rPr>
      </w:pPr>
    </w:p>
    <w:p w14:paraId="6D89402D" w14:textId="7035DC1C" w:rsidR="00310C5F" w:rsidRDefault="00E440C3" w:rsidP="00310C5F">
      <w:pPr>
        <w:pStyle w:val="Prrafodelista"/>
        <w:shd w:val="clear" w:color="auto" w:fill="FFFFFF"/>
        <w:spacing w:after="0" w:line="240" w:lineRule="auto"/>
        <w:ind w:left="0"/>
        <w:jc w:val="both"/>
        <w:rPr>
          <w:rFonts w:ascii="Trebuchet MS" w:hAnsi="Trebuchet MS"/>
        </w:rPr>
      </w:pPr>
      <w:r>
        <w:rPr>
          <w:rFonts w:ascii="Trebuchet MS" w:hAnsi="Trebuchet MS"/>
        </w:rPr>
        <w:t xml:space="preserve">La </w:t>
      </w:r>
      <w:r w:rsidR="00626F29">
        <w:rPr>
          <w:rFonts w:ascii="Trebuchet MS" w:hAnsi="Trebuchet MS"/>
        </w:rPr>
        <w:t xml:space="preserve">Corte Suprema ha </w:t>
      </w:r>
      <w:r w:rsidR="00423960">
        <w:rPr>
          <w:rFonts w:ascii="Trebuchet MS" w:hAnsi="Trebuchet MS"/>
        </w:rPr>
        <w:t xml:space="preserve">resuelto sobre </w:t>
      </w:r>
      <w:r w:rsidR="005F0BB1">
        <w:rPr>
          <w:rFonts w:ascii="Trebuchet MS" w:hAnsi="Trebuchet MS"/>
        </w:rPr>
        <w:t xml:space="preserve">la </w:t>
      </w:r>
      <w:r>
        <w:rPr>
          <w:rFonts w:ascii="Trebuchet MS" w:hAnsi="Trebuchet MS"/>
        </w:rPr>
        <w:t xml:space="preserve">pérdida de chance </w:t>
      </w:r>
      <w:r w:rsidR="005F0BB1">
        <w:rPr>
          <w:rFonts w:ascii="Trebuchet MS" w:hAnsi="Trebuchet MS"/>
        </w:rPr>
        <w:t>,</w:t>
      </w:r>
      <w:r w:rsidR="00DD0F37">
        <w:rPr>
          <w:rFonts w:ascii="Trebuchet MS" w:hAnsi="Trebuchet MS"/>
        </w:rPr>
        <w:t xml:space="preserve"> </w:t>
      </w:r>
      <w:r w:rsidR="000B7F40">
        <w:rPr>
          <w:rFonts w:ascii="Trebuchet MS" w:hAnsi="Trebuchet MS"/>
        </w:rPr>
        <w:t>a partir de la doctrina francesa</w:t>
      </w:r>
      <w:r w:rsidR="00DD0F37">
        <w:rPr>
          <w:rFonts w:ascii="Trebuchet MS" w:hAnsi="Trebuchet MS"/>
        </w:rPr>
        <w:t>,</w:t>
      </w:r>
      <w:r w:rsidR="000B7F40">
        <w:rPr>
          <w:rFonts w:ascii="Trebuchet MS" w:hAnsi="Trebuchet MS"/>
        </w:rPr>
        <w:t xml:space="preserve"> </w:t>
      </w:r>
      <w:r w:rsidR="005F0BB1">
        <w:rPr>
          <w:rFonts w:ascii="Trebuchet MS" w:hAnsi="Trebuchet MS"/>
        </w:rPr>
        <w:t>consider</w:t>
      </w:r>
      <w:r w:rsidR="00DD0F37">
        <w:rPr>
          <w:rFonts w:ascii="Trebuchet MS" w:hAnsi="Trebuchet MS"/>
        </w:rPr>
        <w:t>á</w:t>
      </w:r>
      <w:r w:rsidR="005F0BB1">
        <w:rPr>
          <w:rFonts w:ascii="Trebuchet MS" w:hAnsi="Trebuchet MS"/>
        </w:rPr>
        <w:t>ndo</w:t>
      </w:r>
      <w:r w:rsidR="00DD0F37">
        <w:rPr>
          <w:rFonts w:ascii="Trebuchet MS" w:hAnsi="Trebuchet MS"/>
        </w:rPr>
        <w:t>lo</w:t>
      </w:r>
      <w:r w:rsidR="005F0BB1">
        <w:rPr>
          <w:rFonts w:ascii="Trebuchet MS" w:hAnsi="Trebuchet MS"/>
        </w:rPr>
        <w:t xml:space="preserve"> </w:t>
      </w:r>
      <w:r w:rsidR="00310C5F">
        <w:rPr>
          <w:rFonts w:ascii="Trebuchet MS" w:hAnsi="Trebuchet MS"/>
        </w:rPr>
        <w:t>como</w:t>
      </w:r>
      <w:r w:rsidR="005F0BB1">
        <w:rPr>
          <w:rFonts w:ascii="Trebuchet MS" w:hAnsi="Trebuchet MS"/>
        </w:rPr>
        <w:t xml:space="preserve"> </w:t>
      </w:r>
      <w:r w:rsidR="00310C5F">
        <w:rPr>
          <w:rFonts w:ascii="Trebuchet MS" w:hAnsi="Trebuchet MS"/>
        </w:rPr>
        <w:t>“</w:t>
      </w:r>
      <w:r>
        <w:rPr>
          <w:rFonts w:ascii="Trebuchet MS" w:hAnsi="Trebuchet MS"/>
        </w:rPr>
        <w:t xml:space="preserve">el perjuicio que sufre un  sujeto respecto del cual </w:t>
      </w:r>
      <w:r w:rsidRPr="006A09E8">
        <w:rPr>
          <w:rFonts w:ascii="Trebuchet MS" w:hAnsi="Trebuchet MS"/>
        </w:rPr>
        <w:t>había probabilidades a favor y probabilidades en contra de obtener o no cierta ventaja patrimonial, pero un hecho cometido por un tercero le ha impedido tener la oportunidad de participar en la definición de esas probabilidades”</w:t>
      </w:r>
      <w:r>
        <w:rPr>
          <w:rStyle w:val="Refdenotaalpie"/>
          <w:rFonts w:ascii="Trebuchet MS" w:hAnsi="Trebuchet MS"/>
        </w:rPr>
        <w:footnoteReference w:id="82"/>
      </w:r>
      <w:r w:rsidR="00310C5F" w:rsidRPr="00310C5F">
        <w:rPr>
          <w:rFonts w:ascii="Trebuchet MS" w:hAnsi="Trebuchet MS"/>
        </w:rPr>
        <w:t xml:space="preserve"> </w:t>
      </w:r>
      <w:r w:rsidR="00310C5F">
        <w:rPr>
          <w:rFonts w:ascii="Trebuchet MS" w:hAnsi="Trebuchet MS"/>
        </w:rPr>
        <w:t xml:space="preserve">Precisando que se habla de chance u oportunidad , </w:t>
      </w:r>
      <w:r w:rsidR="007F5ED7">
        <w:rPr>
          <w:rFonts w:ascii="Trebuchet MS" w:hAnsi="Trebuchet MS"/>
        </w:rPr>
        <w:t>“</w:t>
      </w:r>
      <w:r w:rsidR="00310C5F">
        <w:rPr>
          <w:rFonts w:ascii="Trebuchet MS" w:hAnsi="Trebuchet MS"/>
        </w:rPr>
        <w:t xml:space="preserve">pues </w:t>
      </w:r>
      <w:r w:rsidR="00310C5F" w:rsidRPr="006A09E8">
        <w:rPr>
          <w:rFonts w:ascii="Trebuchet MS" w:hAnsi="Trebuchet MS"/>
        </w:rPr>
        <w:t xml:space="preserve">el interés en juego era aleatorio, </w:t>
      </w:r>
      <w:r w:rsidR="00310C5F">
        <w:rPr>
          <w:rFonts w:ascii="Trebuchet MS" w:hAnsi="Trebuchet MS"/>
        </w:rPr>
        <w:t xml:space="preserve">es decir, </w:t>
      </w:r>
      <w:r w:rsidR="00310C5F" w:rsidRPr="006A09E8">
        <w:rPr>
          <w:rFonts w:ascii="Trebuchet MS" w:hAnsi="Trebuchet MS"/>
        </w:rPr>
        <w:t>que existían solamente oportunidades de obtenerlo"</w:t>
      </w:r>
      <w:r w:rsidR="00310C5F">
        <w:rPr>
          <w:rStyle w:val="Refdenotaalpie"/>
          <w:rFonts w:ascii="Trebuchet MS" w:hAnsi="Trebuchet MS"/>
        </w:rPr>
        <w:footnoteReference w:id="83"/>
      </w:r>
      <w:r w:rsidR="00310C5F" w:rsidRPr="006A09E8">
        <w:rPr>
          <w:rFonts w:ascii="Trebuchet MS" w:hAnsi="Trebuchet MS"/>
        </w:rPr>
        <w:t xml:space="preserve"> </w:t>
      </w:r>
    </w:p>
    <w:p w14:paraId="456FEAD8" w14:textId="77777777" w:rsidR="00310C5F" w:rsidRPr="006A09E8" w:rsidRDefault="00310C5F" w:rsidP="00310C5F">
      <w:pPr>
        <w:pStyle w:val="Prrafodelista"/>
        <w:shd w:val="clear" w:color="auto" w:fill="FFFFFF"/>
        <w:spacing w:after="0" w:line="240" w:lineRule="auto"/>
        <w:ind w:left="0"/>
        <w:jc w:val="both"/>
        <w:rPr>
          <w:rFonts w:ascii="Trebuchet MS" w:hAnsi="Trebuchet MS"/>
        </w:rPr>
      </w:pPr>
    </w:p>
    <w:p w14:paraId="17068BF7" w14:textId="69EA477B" w:rsidR="004653DC" w:rsidRDefault="00617EB6" w:rsidP="00637DD7">
      <w:pPr>
        <w:pStyle w:val="Prrafodelista"/>
        <w:shd w:val="clear" w:color="auto" w:fill="FFFFFF"/>
        <w:spacing w:after="0" w:line="240" w:lineRule="auto"/>
        <w:ind w:left="0"/>
        <w:jc w:val="both"/>
        <w:rPr>
          <w:rFonts w:ascii="Trebuchet MS" w:hAnsi="Trebuchet MS"/>
        </w:rPr>
      </w:pPr>
      <w:r>
        <w:rPr>
          <w:rFonts w:ascii="Trebuchet MS" w:hAnsi="Trebuchet MS"/>
        </w:rPr>
        <w:t>Precisa,</w:t>
      </w:r>
      <w:r w:rsidR="003B4FEB">
        <w:rPr>
          <w:rFonts w:ascii="Trebuchet MS" w:hAnsi="Trebuchet MS"/>
        </w:rPr>
        <w:t xml:space="preserve"> además, que </w:t>
      </w:r>
      <w:r w:rsidR="003B4FEB" w:rsidRPr="006A09E8">
        <w:rPr>
          <w:rFonts w:ascii="Trebuchet MS" w:hAnsi="Trebuchet MS"/>
        </w:rPr>
        <w:t>‘</w:t>
      </w:r>
      <w:r w:rsidR="003B4FEB">
        <w:rPr>
          <w:rFonts w:ascii="Trebuchet MS" w:hAnsi="Trebuchet MS"/>
        </w:rPr>
        <w:t>s</w:t>
      </w:r>
      <w:r w:rsidR="003B4FEB" w:rsidRPr="006A09E8">
        <w:rPr>
          <w:rFonts w:ascii="Trebuchet MS" w:hAnsi="Trebuchet MS"/>
        </w:rPr>
        <w:t>e trata de una situación en que hay un comportamiento antijurídico que ha interferido en el curso normal de los acontecimientos, de manera que ya no puede saberse si el afectado por ese comportamient</w:t>
      </w:r>
      <w:r w:rsidR="003B4FEB">
        <w:rPr>
          <w:rFonts w:ascii="Trebuchet MS" w:hAnsi="Trebuchet MS"/>
        </w:rPr>
        <w:t>o</w:t>
      </w:r>
      <w:r w:rsidR="003B4FEB" w:rsidRPr="006A09E8">
        <w:rPr>
          <w:rFonts w:ascii="Trebuchet MS" w:hAnsi="Trebuchet MS"/>
        </w:rPr>
        <w:t>, habría o no obtenido cierta ganancia o evitado cierta pérdida</w:t>
      </w:r>
      <w:r w:rsidR="003B4FEB">
        <w:rPr>
          <w:rStyle w:val="Refdenotaalpie"/>
          <w:rFonts w:ascii="Trebuchet MS" w:hAnsi="Trebuchet MS"/>
        </w:rPr>
        <w:footnoteReference w:id="84"/>
      </w:r>
      <w:r w:rsidR="003B4FEB" w:rsidRPr="006A09E8">
        <w:rPr>
          <w:rFonts w:ascii="Trebuchet MS" w:hAnsi="Trebuchet MS"/>
        </w:rPr>
        <w:t>.</w:t>
      </w:r>
      <w:r w:rsidR="003B4FEB">
        <w:rPr>
          <w:rFonts w:ascii="Trebuchet MS" w:hAnsi="Trebuchet MS"/>
        </w:rPr>
        <w:t xml:space="preserve"> </w:t>
      </w:r>
    </w:p>
    <w:p w14:paraId="11A8073B" w14:textId="77777777" w:rsidR="00BB0A5B" w:rsidRPr="003B4FEB" w:rsidRDefault="00BB0A5B" w:rsidP="00637DD7">
      <w:pPr>
        <w:pStyle w:val="Prrafodelista"/>
        <w:shd w:val="clear" w:color="auto" w:fill="FFFFFF"/>
        <w:spacing w:after="0" w:line="240" w:lineRule="auto"/>
        <w:ind w:left="0"/>
        <w:jc w:val="both"/>
        <w:rPr>
          <w:rFonts w:ascii="Trebuchet MS" w:hAnsi="Trebuchet MS"/>
        </w:rPr>
      </w:pPr>
    </w:p>
    <w:p w14:paraId="6AF04626" w14:textId="6CBA3595" w:rsidR="00EE7715" w:rsidRPr="006A09E8" w:rsidRDefault="00EE7715" w:rsidP="00EE7715">
      <w:pPr>
        <w:shd w:val="clear" w:color="auto" w:fill="FFFFFF"/>
        <w:spacing w:after="0" w:line="240" w:lineRule="auto"/>
        <w:jc w:val="both"/>
        <w:rPr>
          <w:rFonts w:ascii="Trebuchet MS" w:hAnsi="Trebuchet MS"/>
        </w:rPr>
      </w:pPr>
      <w:r>
        <w:rPr>
          <w:rFonts w:ascii="Trebuchet MS" w:hAnsi="Trebuchet MS"/>
        </w:rPr>
        <w:t>R</w:t>
      </w:r>
      <w:r w:rsidRPr="00EE7715">
        <w:rPr>
          <w:rFonts w:ascii="Trebuchet MS" w:hAnsi="Trebuchet MS"/>
        </w:rPr>
        <w:t>especto de los montos de indemnización que corresponden a la pérdida de la chance</w:t>
      </w:r>
      <w:r>
        <w:rPr>
          <w:rFonts w:ascii="Trebuchet MS" w:hAnsi="Trebuchet MS"/>
        </w:rPr>
        <w:t xml:space="preserve">, la Corte ha </w:t>
      </w:r>
      <w:r w:rsidRPr="00EE7715">
        <w:rPr>
          <w:rFonts w:ascii="Trebuchet MS" w:hAnsi="Trebuchet MS"/>
        </w:rPr>
        <w:t>destac</w:t>
      </w:r>
      <w:r>
        <w:rPr>
          <w:rFonts w:ascii="Trebuchet MS" w:hAnsi="Trebuchet MS"/>
        </w:rPr>
        <w:t>ado</w:t>
      </w:r>
      <w:r w:rsidRPr="00EE7715">
        <w:rPr>
          <w:rFonts w:ascii="Trebuchet MS" w:hAnsi="Trebuchet MS"/>
        </w:rPr>
        <w:t xml:space="preserve"> que “la “doctrina en este sentido es unánime</w:t>
      </w:r>
      <w:r>
        <w:rPr>
          <w:rFonts w:ascii="Trebuchet MS" w:hAnsi="Trebuchet MS"/>
        </w:rPr>
        <w:t>”, y que es “l</w:t>
      </w:r>
      <w:r w:rsidRPr="00EE7715">
        <w:rPr>
          <w:rFonts w:ascii="Trebuchet MS" w:hAnsi="Trebuchet MS"/>
        </w:rPr>
        <w:t>a oportunidad es lo que se debe indemnizar y no lo que estaba en juego</w:t>
      </w:r>
      <w:r w:rsidR="00A363E9">
        <w:rPr>
          <w:rFonts w:ascii="Trebuchet MS" w:hAnsi="Trebuchet MS"/>
        </w:rPr>
        <w:t xml:space="preserve">”. </w:t>
      </w:r>
      <w:r w:rsidRPr="00EE7715">
        <w:rPr>
          <w:rFonts w:ascii="Trebuchet MS" w:hAnsi="Trebuchet MS"/>
        </w:rPr>
        <w:t xml:space="preserve">Por eso </w:t>
      </w:r>
      <w:r w:rsidR="00A363E9">
        <w:rPr>
          <w:rFonts w:ascii="Trebuchet MS" w:hAnsi="Trebuchet MS"/>
        </w:rPr>
        <w:t xml:space="preserve">, </w:t>
      </w:r>
      <w:r w:rsidRPr="00EE7715">
        <w:rPr>
          <w:rFonts w:ascii="Trebuchet MS" w:hAnsi="Trebuchet MS"/>
        </w:rPr>
        <w:t xml:space="preserve">ha dicho que la indemnización o el valor es parcial, pues nunca debe ser igual a la ventaja esperada o a la pérdida sufrida” </w:t>
      </w:r>
      <w:r w:rsidRPr="00EE7715">
        <w:rPr>
          <w:rStyle w:val="Refdenotaalpie"/>
          <w:rFonts w:ascii="Trebuchet MS" w:hAnsi="Trebuchet MS"/>
        </w:rPr>
        <w:footnoteReference w:id="85"/>
      </w:r>
      <w:r w:rsidRPr="006A09E8">
        <w:rPr>
          <w:rFonts w:ascii="Trebuchet MS" w:hAnsi="Trebuchet MS"/>
        </w:rPr>
        <w:t xml:space="preserve"> </w:t>
      </w:r>
      <w:r w:rsidR="00A363E9">
        <w:rPr>
          <w:rFonts w:ascii="Trebuchet MS" w:hAnsi="Trebuchet MS"/>
        </w:rPr>
        <w:t>.Por ejemplo, en el caso</w:t>
      </w:r>
      <w:r w:rsidR="005C7C1D">
        <w:rPr>
          <w:rFonts w:ascii="Trebuchet MS" w:hAnsi="Trebuchet MS"/>
        </w:rPr>
        <w:t xml:space="preserve"> </w:t>
      </w:r>
      <w:r w:rsidR="00A363E9">
        <w:rPr>
          <w:rFonts w:ascii="Trebuchet MS" w:hAnsi="Trebuchet MS"/>
        </w:rPr>
        <w:t xml:space="preserve">de una licitación de una obra, en la que se omite la consideración de un candidato </w:t>
      </w:r>
      <w:r w:rsidR="005C7C1D">
        <w:rPr>
          <w:rFonts w:ascii="Trebuchet MS" w:hAnsi="Trebuchet MS"/>
        </w:rPr>
        <w:t>en virtud de un hecho ilícito del servicio, no</w:t>
      </w:r>
      <w:r w:rsidR="00685C9C">
        <w:rPr>
          <w:rFonts w:ascii="Trebuchet MS" w:hAnsi="Trebuchet MS"/>
        </w:rPr>
        <w:t xml:space="preserve"> cabe indemnizar</w:t>
      </w:r>
      <w:r w:rsidR="005C7C1D">
        <w:rPr>
          <w:rFonts w:ascii="Trebuchet MS" w:hAnsi="Trebuchet MS"/>
        </w:rPr>
        <w:t xml:space="preserve"> por el monto total de</w:t>
      </w:r>
      <w:r w:rsidR="00685C9C">
        <w:rPr>
          <w:rFonts w:ascii="Trebuchet MS" w:hAnsi="Trebuchet MS"/>
        </w:rPr>
        <w:t>l</w:t>
      </w:r>
      <w:r w:rsidR="005C7C1D">
        <w:rPr>
          <w:rFonts w:ascii="Trebuchet MS" w:hAnsi="Trebuchet MS"/>
        </w:rPr>
        <w:t xml:space="preserve"> </w:t>
      </w:r>
      <w:r w:rsidR="00685C9C">
        <w:rPr>
          <w:rFonts w:ascii="Trebuchet MS" w:hAnsi="Trebuchet MS"/>
        </w:rPr>
        <w:t xml:space="preserve">proyecto que se </w:t>
      </w:r>
      <w:r w:rsidR="005C7C1D">
        <w:rPr>
          <w:rFonts w:ascii="Trebuchet MS" w:hAnsi="Trebuchet MS"/>
        </w:rPr>
        <w:t>licita</w:t>
      </w:r>
      <w:r w:rsidR="00F37CB9">
        <w:rPr>
          <w:rFonts w:ascii="Trebuchet MS" w:hAnsi="Trebuchet MS"/>
        </w:rPr>
        <w:t>ba, sino por un  monto menor que permita resarcir la perdida de la oportunidad de</w:t>
      </w:r>
      <w:r w:rsidR="009A66BC">
        <w:rPr>
          <w:rFonts w:ascii="Trebuchet MS" w:hAnsi="Trebuchet MS"/>
        </w:rPr>
        <w:t xml:space="preserve"> haber estado entre los posibles sujetos elegibles para desarrollar la obra.</w:t>
      </w:r>
    </w:p>
    <w:p w14:paraId="1EC01C56" w14:textId="77777777" w:rsidR="00EE7715" w:rsidRPr="006A09E8" w:rsidRDefault="00EE7715" w:rsidP="00EE7715">
      <w:pPr>
        <w:shd w:val="clear" w:color="auto" w:fill="FFFFFF"/>
        <w:spacing w:after="0" w:line="240" w:lineRule="auto"/>
        <w:jc w:val="both"/>
        <w:rPr>
          <w:rFonts w:ascii="Trebuchet MS" w:hAnsi="Trebuchet MS"/>
        </w:rPr>
      </w:pPr>
    </w:p>
    <w:p w14:paraId="7698D138" w14:textId="6CBB0395" w:rsidR="00123533" w:rsidRDefault="009A66BC" w:rsidP="00701BA9">
      <w:pPr>
        <w:pStyle w:val="NormalWeb"/>
        <w:shd w:val="clear" w:color="auto" w:fill="FFFFFF"/>
        <w:spacing w:before="0" w:beforeAutospacing="0" w:after="150" w:afterAutospacing="0"/>
        <w:jc w:val="both"/>
        <w:rPr>
          <w:rFonts w:ascii="Trebuchet MS" w:hAnsi="Trebuchet MS"/>
          <w:sz w:val="22"/>
          <w:szCs w:val="22"/>
          <w:u w:val="single"/>
        </w:rPr>
      </w:pPr>
      <w:r w:rsidRPr="009A66BC">
        <w:rPr>
          <w:rFonts w:ascii="Trebuchet MS" w:hAnsi="Trebuchet MS" w:cs="Arial"/>
          <w:color w:val="212529"/>
          <w:sz w:val="22"/>
          <w:szCs w:val="22"/>
        </w:rPr>
        <w:t xml:space="preserve">Por las consideraciones anteriores, </w:t>
      </w:r>
      <w:r w:rsidRPr="00F77E04">
        <w:rPr>
          <w:rFonts w:ascii="Trebuchet MS" w:hAnsi="Trebuchet MS" w:cs="Arial"/>
          <w:color w:val="212529"/>
          <w:sz w:val="22"/>
          <w:szCs w:val="22"/>
        </w:rPr>
        <w:t xml:space="preserve">la moción propone precisar en el artículo </w:t>
      </w:r>
      <w:r w:rsidR="00617EB6" w:rsidRPr="00F77E04">
        <w:rPr>
          <w:rFonts w:ascii="Trebuchet MS" w:hAnsi="Trebuchet MS"/>
          <w:lang w:val="es-ES"/>
        </w:rPr>
        <w:t>14 quáter</w:t>
      </w:r>
      <w:r w:rsidR="00381B75" w:rsidRPr="00F77E04">
        <w:rPr>
          <w:rFonts w:ascii="Trebuchet MS" w:hAnsi="Trebuchet MS"/>
          <w:sz w:val="22"/>
          <w:szCs w:val="22"/>
          <w:lang w:val="es-ES"/>
        </w:rPr>
        <w:t>, además de</w:t>
      </w:r>
      <w:r w:rsidR="00F77E04" w:rsidRPr="00F77E04">
        <w:rPr>
          <w:rFonts w:ascii="Trebuchet MS" w:hAnsi="Trebuchet MS"/>
          <w:sz w:val="22"/>
          <w:szCs w:val="22"/>
          <w:lang w:val="es-ES"/>
        </w:rPr>
        <w:t xml:space="preserve"> que</w:t>
      </w:r>
      <w:r w:rsidR="00381B75" w:rsidRPr="00F77E04">
        <w:rPr>
          <w:rFonts w:ascii="Trebuchet MS" w:hAnsi="Trebuchet MS"/>
          <w:sz w:val="22"/>
          <w:szCs w:val="22"/>
          <w:lang w:val="es-ES"/>
        </w:rPr>
        <w:t xml:space="preserve"> </w:t>
      </w:r>
      <w:r w:rsidR="00F9433D" w:rsidRPr="00F77E04">
        <w:rPr>
          <w:rFonts w:ascii="Trebuchet MS" w:hAnsi="Trebuchet MS"/>
          <w:sz w:val="22"/>
          <w:szCs w:val="22"/>
        </w:rPr>
        <w:t>l</w:t>
      </w:r>
      <w:r w:rsidR="00F9433D" w:rsidRPr="00F9433D">
        <w:rPr>
          <w:rFonts w:ascii="Trebuchet MS" w:hAnsi="Trebuchet MS"/>
          <w:sz w:val="22"/>
          <w:szCs w:val="22"/>
        </w:rPr>
        <w:t xml:space="preserve">a Administración del Estado responde por los daños que tengan causa directa y necesaria en faltas de </w:t>
      </w:r>
      <w:r w:rsidR="00617EB6" w:rsidRPr="00F9433D">
        <w:rPr>
          <w:rFonts w:ascii="Trebuchet MS" w:hAnsi="Trebuchet MS"/>
          <w:sz w:val="22"/>
          <w:szCs w:val="22"/>
        </w:rPr>
        <w:t>servicio</w:t>
      </w:r>
      <w:r w:rsidR="00617EB6">
        <w:rPr>
          <w:rFonts w:ascii="Trebuchet MS" w:hAnsi="Trebuchet MS"/>
          <w:sz w:val="22"/>
          <w:szCs w:val="22"/>
        </w:rPr>
        <w:t>,</w:t>
      </w:r>
      <w:r w:rsidR="00617EB6" w:rsidRPr="00F9433D">
        <w:rPr>
          <w:rFonts w:ascii="Trebuchet MS" w:hAnsi="Trebuchet MS"/>
          <w:sz w:val="22"/>
          <w:szCs w:val="22"/>
        </w:rPr>
        <w:t xml:space="preserve"> que</w:t>
      </w:r>
      <w:r w:rsidR="007C1214" w:rsidRPr="00BB0A5B">
        <w:rPr>
          <w:rFonts w:ascii="Trebuchet MS" w:hAnsi="Trebuchet MS"/>
          <w:sz w:val="22"/>
          <w:szCs w:val="22"/>
          <w:u w:val="single"/>
          <w:lang w:val="es-ES"/>
        </w:rPr>
        <w:t xml:space="preserve"> son </w:t>
      </w:r>
      <w:r w:rsidR="007C1214" w:rsidRPr="00BB0A5B">
        <w:rPr>
          <w:rFonts w:ascii="Trebuchet MS" w:hAnsi="Trebuchet MS"/>
          <w:sz w:val="22"/>
          <w:szCs w:val="22"/>
          <w:u w:val="single"/>
        </w:rPr>
        <w:t>daños indemnizables por la Administración Pública</w:t>
      </w:r>
      <w:r w:rsidR="000C7781" w:rsidRPr="00BB0A5B">
        <w:rPr>
          <w:rFonts w:ascii="Trebuchet MS" w:hAnsi="Trebuchet MS"/>
          <w:sz w:val="22"/>
          <w:szCs w:val="22"/>
          <w:u w:val="single"/>
        </w:rPr>
        <w:t>, l</w:t>
      </w:r>
      <w:r w:rsidR="007C1214" w:rsidRPr="00BB0A5B">
        <w:rPr>
          <w:rFonts w:ascii="Trebuchet MS" w:hAnsi="Trebuchet MS"/>
          <w:sz w:val="22"/>
          <w:szCs w:val="22"/>
          <w:u w:val="single"/>
        </w:rPr>
        <w:t xml:space="preserve">os daños materiales o patrimoniales, ya sea daño emergente </w:t>
      </w:r>
      <w:r w:rsidR="00617EB6" w:rsidRPr="00BB0A5B">
        <w:rPr>
          <w:rFonts w:ascii="Trebuchet MS" w:hAnsi="Trebuchet MS"/>
          <w:sz w:val="22"/>
          <w:szCs w:val="22"/>
          <w:u w:val="single"/>
        </w:rPr>
        <w:t>o lucro</w:t>
      </w:r>
      <w:r w:rsidR="007C1214" w:rsidRPr="00BB0A5B">
        <w:rPr>
          <w:rFonts w:ascii="Trebuchet MS" w:hAnsi="Trebuchet MS"/>
          <w:sz w:val="22"/>
          <w:szCs w:val="22"/>
          <w:u w:val="single"/>
        </w:rPr>
        <w:t xml:space="preserve"> cesante</w:t>
      </w:r>
      <w:r w:rsidR="000C7781" w:rsidRPr="00BB0A5B">
        <w:rPr>
          <w:rFonts w:ascii="Trebuchet MS" w:hAnsi="Trebuchet MS"/>
          <w:sz w:val="22"/>
          <w:szCs w:val="22"/>
          <w:u w:val="single"/>
        </w:rPr>
        <w:t>; l</w:t>
      </w:r>
      <w:r w:rsidR="007C1214" w:rsidRPr="00BB0A5B">
        <w:rPr>
          <w:rFonts w:ascii="Trebuchet MS" w:hAnsi="Trebuchet MS"/>
          <w:sz w:val="22"/>
          <w:szCs w:val="22"/>
          <w:u w:val="single"/>
        </w:rPr>
        <w:t xml:space="preserve">os daños </w:t>
      </w:r>
      <w:r w:rsidR="00617EB6">
        <w:rPr>
          <w:rFonts w:ascii="Trebuchet MS" w:hAnsi="Trebuchet MS"/>
          <w:sz w:val="22"/>
          <w:szCs w:val="22"/>
          <w:u w:val="single"/>
        </w:rPr>
        <w:t>extrapatrimoniales</w:t>
      </w:r>
      <w:r w:rsidR="00617EB6" w:rsidRPr="001E51CF">
        <w:rPr>
          <w:rFonts w:ascii="Trebuchet MS" w:hAnsi="Trebuchet MS"/>
          <w:sz w:val="20"/>
          <w:szCs w:val="20"/>
          <w:u w:val="single"/>
        </w:rPr>
        <w:t>;</w:t>
      </w:r>
      <w:r w:rsidR="000C7781" w:rsidRPr="00315D8E">
        <w:rPr>
          <w:rFonts w:ascii="Trebuchet MS" w:hAnsi="Trebuchet MS"/>
          <w:sz w:val="22"/>
          <w:szCs w:val="22"/>
          <w:u w:val="single"/>
        </w:rPr>
        <w:t xml:space="preserve"> y l</w:t>
      </w:r>
      <w:r w:rsidR="007C1214" w:rsidRPr="00315D8E">
        <w:rPr>
          <w:rFonts w:ascii="Trebuchet MS" w:hAnsi="Trebuchet MS"/>
          <w:sz w:val="22"/>
          <w:szCs w:val="22"/>
          <w:u w:val="single"/>
        </w:rPr>
        <w:t>a pérdida de oportunidades</w:t>
      </w:r>
      <w:r w:rsidR="000C7781" w:rsidRPr="00315D8E">
        <w:rPr>
          <w:rFonts w:ascii="Trebuchet MS" w:hAnsi="Trebuchet MS"/>
          <w:sz w:val="22"/>
          <w:szCs w:val="22"/>
          <w:u w:val="single"/>
        </w:rPr>
        <w:t>.</w:t>
      </w:r>
      <w:r w:rsidR="001E51CF">
        <w:rPr>
          <w:rFonts w:ascii="Trebuchet MS" w:hAnsi="Trebuchet MS"/>
          <w:sz w:val="22"/>
          <w:szCs w:val="22"/>
          <w:u w:val="single"/>
        </w:rPr>
        <w:t xml:space="preserve"> </w:t>
      </w:r>
    </w:p>
    <w:p w14:paraId="5EB3DBAD" w14:textId="34FF7648" w:rsidR="00F539B3" w:rsidRDefault="00F539B3" w:rsidP="00701BA9">
      <w:pPr>
        <w:pStyle w:val="NormalWeb"/>
        <w:shd w:val="clear" w:color="auto" w:fill="FFFFFF"/>
        <w:spacing w:before="0" w:beforeAutospacing="0" w:after="150" w:afterAutospacing="0"/>
        <w:jc w:val="both"/>
        <w:rPr>
          <w:rFonts w:ascii="Trebuchet MS" w:hAnsi="Trebuchet MS"/>
          <w:lang w:val="es-ES"/>
        </w:rPr>
      </w:pPr>
    </w:p>
    <w:p w14:paraId="47697A5A" w14:textId="77777777" w:rsidR="00F539B3" w:rsidRPr="00701BA9" w:rsidRDefault="00F539B3" w:rsidP="00701BA9">
      <w:pPr>
        <w:pStyle w:val="NormalWeb"/>
        <w:shd w:val="clear" w:color="auto" w:fill="FFFFFF"/>
        <w:spacing w:before="0" w:beforeAutospacing="0" w:after="150" w:afterAutospacing="0"/>
        <w:jc w:val="both"/>
        <w:rPr>
          <w:rFonts w:ascii="Trebuchet MS" w:hAnsi="Trebuchet MS"/>
          <w:lang w:val="es-ES"/>
        </w:rPr>
      </w:pPr>
    </w:p>
    <w:p w14:paraId="19C436DA" w14:textId="41093FBE" w:rsidR="00A44FEE" w:rsidRDefault="00A44FEE" w:rsidP="00B509D6">
      <w:pPr>
        <w:spacing w:line="240" w:lineRule="auto"/>
        <w:rPr>
          <w:rFonts w:ascii="Trebuchet MS" w:hAnsi="Trebuchet MS"/>
          <w:sz w:val="24"/>
          <w:szCs w:val="24"/>
          <w:u w:val="single"/>
          <w:lang w:val="es-ES"/>
        </w:rPr>
      </w:pPr>
      <w:r w:rsidRPr="00A44FEE">
        <w:rPr>
          <w:rFonts w:ascii="Trebuchet MS" w:hAnsi="Trebuchet MS"/>
          <w:sz w:val="24"/>
          <w:szCs w:val="24"/>
          <w:u w:val="single"/>
          <w:lang w:val="es-ES"/>
        </w:rPr>
        <w:t>PROYECTO DE LEY</w:t>
      </w:r>
    </w:p>
    <w:p w14:paraId="1ADF2A1A" w14:textId="77777777" w:rsidR="00A44FEE" w:rsidRPr="00701BA9" w:rsidRDefault="00A44FEE" w:rsidP="00A44FEE">
      <w:pPr>
        <w:spacing w:line="240" w:lineRule="auto"/>
        <w:jc w:val="center"/>
        <w:rPr>
          <w:rFonts w:ascii="Trebuchet MS" w:hAnsi="Trebuchet MS"/>
          <w:u w:val="single"/>
          <w:lang w:val="es-ES"/>
        </w:rPr>
      </w:pPr>
    </w:p>
    <w:p w14:paraId="2CF2DC29" w14:textId="17914D58" w:rsidR="002707E4" w:rsidRPr="00701BA9" w:rsidRDefault="002707E4" w:rsidP="002707E4">
      <w:pPr>
        <w:spacing w:line="240" w:lineRule="auto"/>
        <w:jc w:val="both"/>
        <w:rPr>
          <w:rFonts w:ascii="Trebuchet MS" w:hAnsi="Trebuchet MS"/>
          <w:b/>
          <w:bCs/>
        </w:rPr>
      </w:pPr>
      <w:r w:rsidRPr="00701BA9">
        <w:rPr>
          <w:rFonts w:ascii="Trebuchet MS" w:hAnsi="Trebuchet MS"/>
          <w:b/>
          <w:bCs/>
          <w:lang w:val="es-ES"/>
        </w:rPr>
        <w:t xml:space="preserve">Introdúzcanse las siguientes modificaciones al </w:t>
      </w:r>
      <w:r w:rsidRPr="00701BA9">
        <w:rPr>
          <w:rFonts w:ascii="Trebuchet MS" w:hAnsi="Trebuchet MS"/>
          <w:b/>
          <w:bCs/>
        </w:rPr>
        <w:t xml:space="preserve">D.F.L. Núm. 1/19.653, texto refundido </w:t>
      </w:r>
      <w:r w:rsidR="00617EB6" w:rsidRPr="00701BA9">
        <w:rPr>
          <w:rFonts w:ascii="Trebuchet MS" w:hAnsi="Trebuchet MS"/>
          <w:b/>
          <w:bCs/>
        </w:rPr>
        <w:t xml:space="preserve">de </w:t>
      </w:r>
      <w:r w:rsidR="00617EB6" w:rsidRPr="00701BA9">
        <w:rPr>
          <w:rFonts w:ascii="Trebuchet MS" w:hAnsi="Trebuchet MS"/>
          <w:b/>
          <w:bCs/>
          <w:lang w:val="es-ES"/>
        </w:rPr>
        <w:t>la</w:t>
      </w:r>
      <w:r w:rsidRPr="00701BA9">
        <w:rPr>
          <w:rFonts w:ascii="Trebuchet MS" w:hAnsi="Trebuchet MS"/>
          <w:b/>
          <w:bCs/>
          <w:lang w:val="es-ES"/>
        </w:rPr>
        <w:t xml:space="preserve"> Ley </w:t>
      </w:r>
      <w:r w:rsidRPr="00701BA9">
        <w:rPr>
          <w:rFonts w:ascii="Trebuchet MS" w:hAnsi="Trebuchet MS"/>
          <w:b/>
          <w:bCs/>
        </w:rPr>
        <w:t>Orgánica Constitucional de Bases Generales de la Administración del Estado:</w:t>
      </w:r>
    </w:p>
    <w:p w14:paraId="7BF4CDA8" w14:textId="77777777" w:rsidR="002707E4" w:rsidRPr="00701BA9" w:rsidRDefault="002707E4" w:rsidP="002707E4">
      <w:pPr>
        <w:pStyle w:val="Prrafodelista"/>
        <w:spacing w:line="240" w:lineRule="auto"/>
        <w:jc w:val="both"/>
        <w:rPr>
          <w:rFonts w:ascii="Trebuchet MS" w:hAnsi="Trebuchet MS"/>
          <w:b/>
          <w:bCs/>
          <w:lang w:val="es-ES"/>
        </w:rPr>
      </w:pPr>
    </w:p>
    <w:p w14:paraId="7982B225" w14:textId="77777777" w:rsidR="002707E4" w:rsidRPr="00701BA9" w:rsidRDefault="002707E4" w:rsidP="002707E4">
      <w:pPr>
        <w:pStyle w:val="Prrafodelista"/>
        <w:numPr>
          <w:ilvl w:val="0"/>
          <w:numId w:val="2"/>
        </w:numPr>
        <w:spacing w:line="240" w:lineRule="auto"/>
        <w:jc w:val="both"/>
        <w:rPr>
          <w:rFonts w:ascii="Trebuchet MS" w:hAnsi="Trebuchet MS"/>
          <w:b/>
          <w:bCs/>
          <w:lang w:val="es-ES"/>
        </w:rPr>
      </w:pPr>
      <w:r w:rsidRPr="00701BA9">
        <w:rPr>
          <w:rFonts w:ascii="Trebuchet MS" w:hAnsi="Trebuchet MS"/>
          <w:b/>
          <w:bCs/>
          <w:lang w:val="es-ES"/>
        </w:rPr>
        <w:t>Agréguese un artículo 14 del siguiente tenor:</w:t>
      </w:r>
    </w:p>
    <w:p w14:paraId="25F9290F" w14:textId="77777777" w:rsidR="002707E4" w:rsidRPr="00701BA9" w:rsidRDefault="002707E4" w:rsidP="002707E4">
      <w:pPr>
        <w:pStyle w:val="Prrafodelista"/>
        <w:spacing w:line="240" w:lineRule="auto"/>
        <w:jc w:val="both"/>
        <w:rPr>
          <w:rFonts w:ascii="Trebuchet MS" w:hAnsi="Trebuchet MS"/>
          <w:b/>
          <w:bCs/>
          <w:sz w:val="16"/>
          <w:szCs w:val="16"/>
          <w:lang w:val="es-ES"/>
        </w:rPr>
      </w:pPr>
    </w:p>
    <w:p w14:paraId="0C1590E9" w14:textId="1B826481" w:rsidR="00123533" w:rsidRPr="00701BA9" w:rsidRDefault="00617EB6" w:rsidP="00123533">
      <w:pPr>
        <w:jc w:val="both"/>
        <w:rPr>
          <w:rFonts w:ascii="Trebuchet MS" w:hAnsi="Trebuchet MS"/>
          <w:lang w:val="es-ES"/>
        </w:rPr>
      </w:pPr>
      <w:r w:rsidRPr="00701BA9">
        <w:rPr>
          <w:rFonts w:ascii="Trebuchet MS" w:hAnsi="Trebuchet MS"/>
          <w:b/>
          <w:bCs/>
          <w:lang w:val="es-ES"/>
        </w:rPr>
        <w:t>Artículo 14</w:t>
      </w:r>
      <w:r w:rsidR="00F41D1D" w:rsidRPr="006311CB">
        <w:rPr>
          <w:rFonts w:ascii="Trebuchet MS" w:hAnsi="Trebuchet MS"/>
          <w:sz w:val="20"/>
          <w:szCs w:val="20"/>
          <w:lang w:val="es-ES"/>
        </w:rPr>
        <w:t xml:space="preserve"> *</w:t>
      </w:r>
      <w:r w:rsidR="002707E4" w:rsidRPr="006311CB">
        <w:rPr>
          <w:rFonts w:ascii="Trebuchet MS" w:hAnsi="Trebuchet MS"/>
          <w:sz w:val="20"/>
          <w:szCs w:val="20"/>
          <w:lang w:val="es-ES"/>
        </w:rPr>
        <w:t>.</w:t>
      </w:r>
      <w:r w:rsidR="002707E4" w:rsidRPr="006311CB">
        <w:rPr>
          <w:rFonts w:ascii="Trebuchet MS" w:hAnsi="Trebuchet MS"/>
          <w:b/>
          <w:bCs/>
          <w:sz w:val="20"/>
          <w:szCs w:val="20"/>
          <w:lang w:val="es-ES"/>
        </w:rPr>
        <w:t xml:space="preserve"> </w:t>
      </w:r>
      <w:r w:rsidR="00123533" w:rsidRPr="00701BA9">
        <w:rPr>
          <w:rFonts w:ascii="Trebuchet MS" w:hAnsi="Trebuchet MS"/>
          <w:lang w:val="es-ES"/>
        </w:rPr>
        <w:t xml:space="preserve">La responsabilidad por falta de servicio es </w:t>
      </w:r>
      <w:r w:rsidRPr="00701BA9">
        <w:rPr>
          <w:rFonts w:ascii="Trebuchet MS" w:hAnsi="Trebuchet MS"/>
          <w:lang w:val="es-ES"/>
        </w:rPr>
        <w:t>un</w:t>
      </w:r>
      <w:r w:rsidRPr="00701BA9">
        <w:rPr>
          <w:rFonts w:ascii="Trebuchet MS" w:hAnsi="Trebuchet MS"/>
          <w:b/>
          <w:bCs/>
          <w:lang w:val="es-ES"/>
        </w:rPr>
        <w:t xml:space="preserve"> </w:t>
      </w:r>
      <w:r w:rsidRPr="00701BA9">
        <w:rPr>
          <w:rFonts w:ascii="Trebuchet MS" w:hAnsi="Trebuchet MS"/>
        </w:rPr>
        <w:t>régimen</w:t>
      </w:r>
      <w:r w:rsidR="00123533" w:rsidRPr="00701BA9">
        <w:rPr>
          <w:rFonts w:ascii="Trebuchet MS" w:hAnsi="Trebuchet MS"/>
        </w:rPr>
        <w:t xml:space="preserve"> de responsabilidad anónima. Imputa responsabilidad al órgano por su mal funcionamiento con </w:t>
      </w:r>
      <w:r w:rsidRPr="00701BA9">
        <w:rPr>
          <w:rFonts w:ascii="Trebuchet MS" w:hAnsi="Trebuchet MS"/>
        </w:rPr>
        <w:t>independencia de</w:t>
      </w:r>
      <w:r w:rsidR="00123533" w:rsidRPr="00701BA9">
        <w:rPr>
          <w:rFonts w:ascii="Trebuchet MS" w:hAnsi="Trebuchet MS"/>
        </w:rPr>
        <w:t xml:space="preserve"> la identificación de funcionarios específicos y de su culpa en la producción de los daños.  No</w:t>
      </w:r>
      <w:r w:rsidR="00701BA9">
        <w:rPr>
          <w:rFonts w:ascii="Trebuchet MS" w:hAnsi="Trebuchet MS"/>
        </w:rPr>
        <w:t xml:space="preserve"> obstante,</w:t>
      </w:r>
      <w:r w:rsidR="00BF5DB2">
        <w:rPr>
          <w:rFonts w:ascii="Trebuchet MS" w:hAnsi="Trebuchet MS"/>
        </w:rPr>
        <w:t xml:space="preserve"> </w:t>
      </w:r>
      <w:r w:rsidR="00701BA9">
        <w:rPr>
          <w:rFonts w:ascii="Trebuchet MS" w:hAnsi="Trebuchet MS"/>
        </w:rPr>
        <w:t>no</w:t>
      </w:r>
      <w:r w:rsidR="00123533" w:rsidRPr="00701BA9">
        <w:rPr>
          <w:rFonts w:ascii="Trebuchet MS" w:hAnsi="Trebuchet MS"/>
        </w:rPr>
        <w:t xml:space="preserve"> es un régimen de responsabilidad objetiva, pues exige la ocurrencia de una anormalidad en la prestación del servicio. </w:t>
      </w:r>
    </w:p>
    <w:p w14:paraId="4DC83359" w14:textId="4068A887" w:rsidR="007D6801" w:rsidRPr="00701BA9" w:rsidRDefault="007D6801" w:rsidP="007D6801">
      <w:pPr>
        <w:spacing w:line="240" w:lineRule="auto"/>
        <w:jc w:val="both"/>
        <w:rPr>
          <w:rFonts w:ascii="Trebuchet MS" w:hAnsi="Trebuchet MS"/>
          <w:lang w:val="es-ES"/>
        </w:rPr>
      </w:pPr>
      <w:r w:rsidRPr="00701BA9">
        <w:rPr>
          <w:rFonts w:ascii="Trebuchet MS" w:hAnsi="Trebuchet MS"/>
          <w:lang w:val="es-ES"/>
        </w:rPr>
        <w:t>Corresponde a todos los órganos de la Administración conforme a lo dispuesto en el artículo 4°</w:t>
      </w:r>
      <w:r w:rsidRPr="00701BA9">
        <w:rPr>
          <w:rStyle w:val="Refdenotaalpie"/>
          <w:rFonts w:ascii="Trebuchet MS" w:hAnsi="Trebuchet MS"/>
          <w:lang w:val="es-ES"/>
        </w:rPr>
        <w:footnoteReference w:id="86"/>
      </w:r>
      <w:r w:rsidRPr="00701BA9">
        <w:rPr>
          <w:rFonts w:ascii="Trebuchet MS" w:hAnsi="Trebuchet MS"/>
          <w:lang w:val="es-ES"/>
        </w:rPr>
        <w:t xml:space="preserve"> de la presente ley, con independencia de que su organización y funcionamiento esté regulado en esta ley general o en leyes especiales. Alcanza, también, a los órganos autónomos. Es exigible tanto si la Administración ejerce directamente sus funciones públicas, o si encomienda su ejercicio a particulares, transfiriéndoles recursos públicos al efecto.</w:t>
      </w:r>
    </w:p>
    <w:p w14:paraId="7D24F7A5" w14:textId="3B7367D7" w:rsidR="002707E4" w:rsidRPr="00701BA9" w:rsidRDefault="00123533" w:rsidP="002707E4">
      <w:pPr>
        <w:spacing w:line="240" w:lineRule="auto"/>
        <w:jc w:val="both"/>
        <w:rPr>
          <w:rFonts w:ascii="Trebuchet MS" w:hAnsi="Trebuchet MS"/>
          <w:lang w:val="es-ES"/>
        </w:rPr>
      </w:pPr>
      <w:r w:rsidRPr="00701BA9">
        <w:rPr>
          <w:rFonts w:ascii="Trebuchet MS" w:hAnsi="Trebuchet MS"/>
          <w:lang w:val="es-ES"/>
        </w:rPr>
        <w:t xml:space="preserve">Se rige por las normas generales que establece esta ley, </w:t>
      </w:r>
      <w:r w:rsidRPr="00701BA9">
        <w:rPr>
          <w:rFonts w:ascii="Trebuchet MS" w:hAnsi="Trebuchet MS"/>
        </w:rPr>
        <w:t>sin perjuicio de normas especiales que   configuren subsistemas de responsabilidad patrimonial específicos</w:t>
      </w:r>
      <w:r w:rsidR="002B4A9B" w:rsidRPr="00701BA9">
        <w:rPr>
          <w:rFonts w:ascii="Trebuchet MS" w:hAnsi="Trebuchet MS"/>
        </w:rPr>
        <w:t xml:space="preserve">, </w:t>
      </w:r>
      <w:r w:rsidRPr="00701BA9">
        <w:rPr>
          <w:rFonts w:ascii="Trebuchet MS" w:hAnsi="Trebuchet MS"/>
        </w:rPr>
        <w:t xml:space="preserve">ya sea </w:t>
      </w:r>
      <w:r w:rsidR="00617EB6" w:rsidRPr="00701BA9">
        <w:rPr>
          <w:rFonts w:ascii="Trebuchet MS" w:hAnsi="Trebuchet MS"/>
        </w:rPr>
        <w:t>debido a</w:t>
      </w:r>
      <w:r w:rsidRPr="00701BA9">
        <w:rPr>
          <w:rFonts w:ascii="Trebuchet MS" w:hAnsi="Trebuchet MS"/>
        </w:rPr>
        <w:t xml:space="preserve"> determinados órganos u actuaciones.     </w:t>
      </w:r>
    </w:p>
    <w:p w14:paraId="1D05DE16" w14:textId="77777777" w:rsidR="002B4A9B" w:rsidRPr="00701BA9" w:rsidRDefault="002B4A9B" w:rsidP="002707E4">
      <w:pPr>
        <w:spacing w:line="240" w:lineRule="auto"/>
        <w:jc w:val="both"/>
        <w:rPr>
          <w:rFonts w:ascii="Trebuchet MS" w:hAnsi="Trebuchet MS"/>
          <w:sz w:val="8"/>
          <w:szCs w:val="8"/>
          <w:lang w:val="es-ES"/>
        </w:rPr>
      </w:pPr>
    </w:p>
    <w:p w14:paraId="6E35BA3B" w14:textId="61399693" w:rsidR="00123533" w:rsidRPr="00701BA9" w:rsidRDefault="00617EB6" w:rsidP="00D91421">
      <w:pPr>
        <w:jc w:val="both"/>
        <w:rPr>
          <w:rFonts w:ascii="Trebuchet MS" w:hAnsi="Trebuchet MS"/>
        </w:rPr>
      </w:pPr>
      <w:r w:rsidRPr="00701BA9">
        <w:rPr>
          <w:rFonts w:ascii="Trebuchet MS" w:hAnsi="Trebuchet MS"/>
          <w:b/>
          <w:bCs/>
          <w:lang w:val="es-ES"/>
        </w:rPr>
        <w:t>Artículo 14</w:t>
      </w:r>
      <w:r w:rsidR="002707E4" w:rsidRPr="00701BA9">
        <w:rPr>
          <w:rFonts w:ascii="Trebuchet MS" w:hAnsi="Trebuchet MS"/>
          <w:b/>
          <w:bCs/>
          <w:lang w:val="es-ES"/>
        </w:rPr>
        <w:t xml:space="preserve"> bis.</w:t>
      </w:r>
      <w:r w:rsidR="002707E4" w:rsidRPr="00701BA9">
        <w:rPr>
          <w:rFonts w:ascii="Arial" w:hAnsi="Arial" w:cs="Arial"/>
          <w:color w:val="333333"/>
          <w:lang w:val="es-ES"/>
        </w:rPr>
        <w:t xml:space="preserve"> </w:t>
      </w:r>
      <w:r w:rsidR="007A384F" w:rsidRPr="00701BA9">
        <w:rPr>
          <w:rFonts w:ascii="Trebuchet MS" w:hAnsi="Trebuchet MS"/>
          <w:lang w:val="es-ES"/>
        </w:rPr>
        <w:t xml:space="preserve"> </w:t>
      </w:r>
      <w:r w:rsidR="00824FCF" w:rsidRPr="00701BA9">
        <w:rPr>
          <w:rFonts w:ascii="Trebuchet MS" w:hAnsi="Trebuchet MS"/>
          <w:lang w:val="es-ES"/>
        </w:rPr>
        <w:t xml:space="preserve">Constituye </w:t>
      </w:r>
      <w:r w:rsidR="00824FCF" w:rsidRPr="00701BA9">
        <w:rPr>
          <w:rFonts w:ascii="Trebuchet MS" w:hAnsi="Trebuchet MS"/>
        </w:rPr>
        <w:t>f</w:t>
      </w:r>
      <w:r w:rsidR="002707E4" w:rsidRPr="00701BA9">
        <w:rPr>
          <w:rFonts w:ascii="Trebuchet MS" w:hAnsi="Trebuchet MS"/>
        </w:rPr>
        <w:t xml:space="preserve">alta de servicio </w:t>
      </w:r>
      <w:r w:rsidR="00824FCF" w:rsidRPr="00701BA9">
        <w:rPr>
          <w:rFonts w:ascii="Trebuchet MS" w:hAnsi="Trebuchet MS"/>
        </w:rPr>
        <w:t xml:space="preserve">la actuación ilegítima de la Administración. </w:t>
      </w:r>
      <w:r w:rsidR="00516838" w:rsidRPr="00701BA9">
        <w:rPr>
          <w:rFonts w:ascii="Trebuchet MS" w:hAnsi="Trebuchet MS"/>
        </w:rPr>
        <w:t xml:space="preserve"> Existe</w:t>
      </w:r>
      <w:r w:rsidR="00824FCF" w:rsidRPr="00701BA9">
        <w:rPr>
          <w:rFonts w:ascii="Trebuchet MS" w:hAnsi="Trebuchet MS"/>
        </w:rPr>
        <w:t xml:space="preserve"> actuación ilegítima</w:t>
      </w:r>
      <w:r w:rsidR="00516838" w:rsidRPr="00701BA9">
        <w:rPr>
          <w:rFonts w:ascii="Trebuchet MS" w:hAnsi="Trebuchet MS"/>
        </w:rPr>
        <w:t xml:space="preserve"> cuando los agentes estatales no actúan debiendo hacerlo</w:t>
      </w:r>
      <w:r w:rsidR="00D91421" w:rsidRPr="00701BA9">
        <w:rPr>
          <w:rFonts w:ascii="Trebuchet MS" w:hAnsi="Trebuchet MS"/>
        </w:rPr>
        <w:t>;</w:t>
      </w:r>
      <w:r w:rsidR="00516838" w:rsidRPr="00701BA9">
        <w:rPr>
          <w:rFonts w:ascii="Trebuchet MS" w:hAnsi="Trebuchet MS"/>
        </w:rPr>
        <w:t xml:space="preserve"> </w:t>
      </w:r>
      <w:r w:rsidR="00D91421" w:rsidRPr="00701BA9">
        <w:rPr>
          <w:rFonts w:ascii="Trebuchet MS" w:hAnsi="Trebuchet MS"/>
        </w:rPr>
        <w:t xml:space="preserve">cuando actúan, pero de modo </w:t>
      </w:r>
      <w:r w:rsidRPr="00701BA9">
        <w:rPr>
          <w:rFonts w:ascii="Trebuchet MS" w:hAnsi="Trebuchet MS"/>
        </w:rPr>
        <w:t>irregular</w:t>
      </w:r>
      <w:r w:rsidRPr="00701BA9">
        <w:rPr>
          <w:rFonts w:ascii="Trebuchet MS" w:hAnsi="Trebuchet MS"/>
          <w:lang w:val="es-ES"/>
        </w:rPr>
        <w:t>,</w:t>
      </w:r>
      <w:r w:rsidR="00D526FF" w:rsidRPr="00701BA9">
        <w:rPr>
          <w:rFonts w:ascii="Trebuchet MS" w:hAnsi="Trebuchet MS"/>
          <w:lang w:val="es-ES"/>
        </w:rPr>
        <w:t xml:space="preserve"> es decir</w:t>
      </w:r>
      <w:r w:rsidR="00970EB7" w:rsidRPr="00701BA9">
        <w:rPr>
          <w:rFonts w:ascii="Trebuchet MS" w:hAnsi="Trebuchet MS"/>
          <w:lang w:val="es-ES"/>
        </w:rPr>
        <w:t xml:space="preserve">, </w:t>
      </w:r>
      <w:r w:rsidR="00123533" w:rsidRPr="00701BA9">
        <w:rPr>
          <w:rFonts w:ascii="Trebuchet MS" w:hAnsi="Trebuchet MS"/>
        </w:rPr>
        <w:t>fuera del estándar funcionamiento medio, común u ordinario exigible a un servicio moderno</w:t>
      </w:r>
      <w:r w:rsidR="00D91421" w:rsidRPr="00701BA9">
        <w:rPr>
          <w:rFonts w:ascii="Trebuchet MS" w:hAnsi="Trebuchet MS"/>
        </w:rPr>
        <w:t>; y cuando actúan tardíamente.</w:t>
      </w:r>
    </w:p>
    <w:p w14:paraId="7C84685E" w14:textId="2A4424DF" w:rsidR="00123533" w:rsidRDefault="00414ED1" w:rsidP="00123533">
      <w:pPr>
        <w:spacing w:line="240" w:lineRule="auto"/>
        <w:jc w:val="both"/>
        <w:rPr>
          <w:rFonts w:ascii="Trebuchet MS" w:hAnsi="Trebuchet MS"/>
          <w:lang w:val="es-ES"/>
        </w:rPr>
      </w:pPr>
      <w:r w:rsidRPr="00701BA9">
        <w:rPr>
          <w:rFonts w:ascii="Trebuchet MS" w:hAnsi="Trebuchet MS"/>
          <w:lang w:val="es-ES"/>
        </w:rPr>
        <w:t>La falta de servicio se presume en caso</w:t>
      </w:r>
      <w:r w:rsidR="00FC2794">
        <w:rPr>
          <w:rFonts w:ascii="Trebuchet MS" w:hAnsi="Trebuchet MS"/>
          <w:lang w:val="es-ES"/>
        </w:rPr>
        <w:t xml:space="preserve">s graves </w:t>
      </w:r>
      <w:r w:rsidRPr="00701BA9">
        <w:rPr>
          <w:rFonts w:ascii="Trebuchet MS" w:hAnsi="Trebuchet MS"/>
          <w:lang w:val="es-ES"/>
        </w:rPr>
        <w:t xml:space="preserve">de </w:t>
      </w:r>
      <w:r w:rsidRPr="00701BA9">
        <w:rPr>
          <w:rFonts w:ascii="Trebuchet MS" w:hAnsi="Trebuchet MS"/>
        </w:rPr>
        <w:t>violaciones de derechos humanos de las personas</w:t>
      </w:r>
      <w:r w:rsidR="00186B31">
        <w:rPr>
          <w:rFonts w:ascii="Trebuchet MS" w:hAnsi="Trebuchet MS"/>
        </w:rPr>
        <w:t>. También en casos</w:t>
      </w:r>
      <w:r w:rsidR="00FC2794">
        <w:rPr>
          <w:rFonts w:ascii="Trebuchet MS" w:hAnsi="Trebuchet MS"/>
        </w:rPr>
        <w:t xml:space="preserve"> </w:t>
      </w:r>
      <w:r w:rsidR="00622198">
        <w:rPr>
          <w:rFonts w:ascii="Trebuchet MS" w:hAnsi="Trebuchet MS"/>
        </w:rPr>
        <w:t>graves</w:t>
      </w:r>
      <w:r w:rsidRPr="00701BA9">
        <w:rPr>
          <w:rFonts w:ascii="Trebuchet MS" w:hAnsi="Trebuchet MS"/>
          <w:lang w:val="es-ES"/>
        </w:rPr>
        <w:t xml:space="preserve"> abuso de autoridad.</w:t>
      </w:r>
    </w:p>
    <w:p w14:paraId="03D82456" w14:textId="77777777" w:rsidR="00701BA9" w:rsidRPr="00701BA9" w:rsidRDefault="00701BA9" w:rsidP="00123533">
      <w:pPr>
        <w:spacing w:line="240" w:lineRule="auto"/>
        <w:jc w:val="both"/>
        <w:rPr>
          <w:rFonts w:ascii="Trebuchet MS" w:hAnsi="Trebuchet MS"/>
          <w:sz w:val="12"/>
          <w:szCs w:val="12"/>
          <w:lang w:val="es-ES"/>
        </w:rPr>
      </w:pPr>
    </w:p>
    <w:p w14:paraId="1CBFBE76" w14:textId="69092409" w:rsidR="003A0A64" w:rsidRPr="00701BA9" w:rsidRDefault="00414ED1" w:rsidP="00DC6406">
      <w:pPr>
        <w:jc w:val="both"/>
        <w:rPr>
          <w:rFonts w:ascii="Trebuchet MS" w:hAnsi="Trebuchet MS"/>
          <w:lang w:val="es-ES"/>
        </w:rPr>
      </w:pPr>
      <w:r w:rsidRPr="00701BA9">
        <w:rPr>
          <w:rFonts w:ascii="Trebuchet MS" w:hAnsi="Trebuchet MS"/>
          <w:b/>
          <w:bCs/>
          <w:lang w:val="es-ES"/>
        </w:rPr>
        <w:t>Artículo 14 ter</w:t>
      </w:r>
      <w:r w:rsidRPr="00701BA9">
        <w:rPr>
          <w:rFonts w:ascii="Trebuchet MS" w:hAnsi="Trebuchet MS"/>
          <w:lang w:val="es-ES"/>
        </w:rPr>
        <w:t xml:space="preserve">. </w:t>
      </w:r>
      <w:r w:rsidR="008776C2" w:rsidRPr="00701BA9">
        <w:rPr>
          <w:rFonts w:ascii="Trebuchet MS" w:hAnsi="Trebuchet MS"/>
          <w:lang w:val="es-ES"/>
        </w:rPr>
        <w:t>L</w:t>
      </w:r>
      <w:r w:rsidR="00DC6406" w:rsidRPr="00701BA9">
        <w:rPr>
          <w:rFonts w:ascii="Trebuchet MS" w:hAnsi="Trebuchet MS"/>
          <w:lang w:val="es-ES"/>
        </w:rPr>
        <w:t xml:space="preserve">a existencia de una falta </w:t>
      </w:r>
      <w:r w:rsidR="008776C2" w:rsidRPr="00701BA9">
        <w:rPr>
          <w:rFonts w:ascii="Trebuchet MS" w:hAnsi="Trebuchet MS"/>
          <w:lang w:val="es-ES"/>
        </w:rPr>
        <w:t>de servic</w:t>
      </w:r>
      <w:r w:rsidR="00233DB2" w:rsidRPr="00701BA9">
        <w:rPr>
          <w:rFonts w:ascii="Trebuchet MS" w:hAnsi="Trebuchet MS"/>
          <w:lang w:val="es-ES"/>
        </w:rPr>
        <w:t xml:space="preserve">io se </w:t>
      </w:r>
      <w:r w:rsidR="00CF3DEC" w:rsidRPr="00701BA9">
        <w:rPr>
          <w:rFonts w:ascii="Trebuchet MS" w:hAnsi="Trebuchet MS"/>
          <w:lang w:val="es-ES"/>
        </w:rPr>
        <w:t>determinará</w:t>
      </w:r>
      <w:r w:rsidR="00233DB2" w:rsidRPr="00701BA9">
        <w:rPr>
          <w:rFonts w:ascii="Trebuchet MS" w:hAnsi="Trebuchet MS"/>
          <w:lang w:val="es-ES"/>
        </w:rPr>
        <w:t xml:space="preserve"> </w:t>
      </w:r>
      <w:r w:rsidR="00617EB6" w:rsidRPr="00701BA9">
        <w:rPr>
          <w:rFonts w:ascii="Trebuchet MS" w:hAnsi="Trebuchet MS"/>
          <w:lang w:val="es-ES"/>
        </w:rPr>
        <w:t>atendiendo al</w:t>
      </w:r>
      <w:r w:rsidR="00DC6406" w:rsidRPr="00701BA9">
        <w:rPr>
          <w:rFonts w:ascii="Trebuchet MS" w:hAnsi="Trebuchet MS"/>
          <w:lang w:val="es-ES"/>
        </w:rPr>
        <w:t xml:space="preserve"> cumplimiento de las obligaciones o estándares de diligencia exigibles a la Administración del Estado,</w:t>
      </w:r>
      <w:r w:rsidR="003A0A64">
        <w:rPr>
          <w:rFonts w:ascii="Trebuchet MS" w:hAnsi="Trebuchet MS"/>
          <w:lang w:val="es-ES"/>
        </w:rPr>
        <w:t xml:space="preserve"> </w:t>
      </w:r>
      <w:r w:rsidR="003A0A64" w:rsidRPr="003A0A64">
        <w:rPr>
          <w:rFonts w:ascii="Trebuchet MS" w:hAnsi="Trebuchet MS"/>
          <w:lang w:val="es-ES"/>
        </w:rPr>
        <w:t xml:space="preserve">determinados en cada caso por el legislador </w:t>
      </w:r>
      <w:r w:rsidR="00617EB6" w:rsidRPr="003A0A64">
        <w:rPr>
          <w:rFonts w:ascii="Trebuchet MS" w:hAnsi="Trebuchet MS"/>
          <w:lang w:val="es-ES"/>
        </w:rPr>
        <w:t>o la</w:t>
      </w:r>
      <w:r w:rsidR="003A0A64" w:rsidRPr="003A0A64">
        <w:rPr>
          <w:rFonts w:ascii="Trebuchet MS" w:hAnsi="Trebuchet MS"/>
          <w:lang w:val="es-ES"/>
        </w:rPr>
        <w:t xml:space="preserve"> propia autoridad administrativa en reglas o principios generales.  En caso de no encontrarse estos estándares expresamente determinados en la legislación, corresponde al juez construirlos en base a criterio objetivos establecidos en la ciencia o arte de la actividad material concreta desarrollada por el órgano púbico y /o </w:t>
      </w:r>
      <w:r w:rsidR="003A0A64">
        <w:rPr>
          <w:rFonts w:ascii="Trebuchet MS" w:hAnsi="Trebuchet MS"/>
          <w:lang w:val="es-ES"/>
        </w:rPr>
        <w:t xml:space="preserve">conforme a </w:t>
      </w:r>
      <w:r w:rsidR="003A0A64" w:rsidRPr="003A0A64">
        <w:rPr>
          <w:rFonts w:ascii="Trebuchet MS" w:hAnsi="Trebuchet MS"/>
          <w:lang w:val="es-ES"/>
        </w:rPr>
        <w:t xml:space="preserve">los principios ,directrices y reglas desarrolladas por los organismo técnicos encargados de velar por el cumplimiento de las </w:t>
      </w:r>
      <w:r w:rsidR="00FC2794">
        <w:rPr>
          <w:rFonts w:ascii="Trebuchet MS" w:hAnsi="Trebuchet MS"/>
          <w:lang w:val="es-ES"/>
        </w:rPr>
        <w:t>c</w:t>
      </w:r>
      <w:r w:rsidR="003A0A64" w:rsidRPr="003A0A64">
        <w:rPr>
          <w:rFonts w:ascii="Trebuchet MS" w:hAnsi="Trebuchet MS"/>
          <w:lang w:val="es-ES"/>
        </w:rPr>
        <w:t xml:space="preserve">onvenciones </w:t>
      </w:r>
      <w:r w:rsidR="00FC2794">
        <w:rPr>
          <w:rFonts w:ascii="Trebuchet MS" w:hAnsi="Trebuchet MS"/>
          <w:lang w:val="es-ES"/>
        </w:rPr>
        <w:t>i</w:t>
      </w:r>
      <w:r w:rsidR="003A0A64" w:rsidRPr="003A0A64">
        <w:rPr>
          <w:rFonts w:ascii="Trebuchet MS" w:hAnsi="Trebuchet MS"/>
          <w:lang w:val="es-ES"/>
        </w:rPr>
        <w:t xml:space="preserve">nternacionales de </w:t>
      </w:r>
      <w:r w:rsidR="00FC2794">
        <w:rPr>
          <w:rFonts w:ascii="Trebuchet MS" w:hAnsi="Trebuchet MS"/>
          <w:lang w:val="es-ES"/>
        </w:rPr>
        <w:t>d</w:t>
      </w:r>
      <w:r w:rsidR="003A0A64">
        <w:rPr>
          <w:rFonts w:ascii="Trebuchet MS" w:hAnsi="Trebuchet MS"/>
          <w:lang w:val="es-ES"/>
        </w:rPr>
        <w:t>e</w:t>
      </w:r>
      <w:r w:rsidR="00FC2794">
        <w:rPr>
          <w:rFonts w:ascii="Trebuchet MS" w:hAnsi="Trebuchet MS"/>
          <w:lang w:val="es-ES"/>
        </w:rPr>
        <w:t xml:space="preserve">rechos humanos </w:t>
      </w:r>
      <w:r w:rsidR="003A0A64" w:rsidRPr="003A0A64">
        <w:rPr>
          <w:rFonts w:ascii="Trebuchet MS" w:hAnsi="Trebuchet MS"/>
          <w:lang w:val="es-ES"/>
        </w:rPr>
        <w:t xml:space="preserve"> ratificadas por Chile y se encuentren vigentes,  aplicables al caso concreto. </w:t>
      </w:r>
    </w:p>
    <w:p w14:paraId="079D342D" w14:textId="61AC3926" w:rsidR="002707E4" w:rsidRPr="00701BA9" w:rsidRDefault="00701BA9" w:rsidP="00701BA9">
      <w:pPr>
        <w:jc w:val="both"/>
        <w:rPr>
          <w:rFonts w:ascii="Trebuchet MS" w:hAnsi="Trebuchet MS"/>
          <w:lang w:val="es-ES"/>
        </w:rPr>
      </w:pPr>
      <w:r>
        <w:rPr>
          <w:rFonts w:ascii="Trebuchet MS" w:hAnsi="Trebuchet MS"/>
          <w:lang w:val="es-ES"/>
        </w:rPr>
        <w:t>Además, d</w:t>
      </w:r>
      <w:r w:rsidR="00DC6406" w:rsidRPr="00701BA9">
        <w:rPr>
          <w:rFonts w:ascii="Trebuchet MS" w:hAnsi="Trebuchet MS"/>
          <w:lang w:val="es-ES"/>
        </w:rPr>
        <w:t xml:space="preserve">eberá considerarse el tiempo y lugar en que se desarrolla el servicio, los medios técnicos y humanos con que cuenta para realizar su actividad, y la previsibilidad del daño. </w:t>
      </w:r>
    </w:p>
    <w:p w14:paraId="1D3A66AA" w14:textId="4C97F2D8" w:rsidR="00093B9D" w:rsidRDefault="00617EB6" w:rsidP="002707E4">
      <w:pPr>
        <w:spacing w:line="240" w:lineRule="auto"/>
        <w:jc w:val="both"/>
        <w:rPr>
          <w:rFonts w:ascii="Arial" w:hAnsi="Arial" w:cs="Arial"/>
          <w:color w:val="333333"/>
          <w:lang w:val="es-ES"/>
        </w:rPr>
      </w:pPr>
      <w:r w:rsidRPr="00701BA9">
        <w:rPr>
          <w:rFonts w:ascii="Trebuchet MS" w:hAnsi="Trebuchet MS"/>
          <w:b/>
          <w:bCs/>
          <w:lang w:val="es-ES"/>
        </w:rPr>
        <w:t>Artículo 14 quáter</w:t>
      </w:r>
      <w:r w:rsidR="002707E4" w:rsidRPr="00701BA9">
        <w:rPr>
          <w:rFonts w:ascii="Trebuchet MS" w:hAnsi="Trebuchet MS"/>
          <w:b/>
          <w:bCs/>
          <w:lang w:val="es-ES"/>
        </w:rPr>
        <w:t>.</w:t>
      </w:r>
      <w:r w:rsidR="002707E4" w:rsidRPr="00701BA9">
        <w:rPr>
          <w:rFonts w:ascii="Arial" w:hAnsi="Arial" w:cs="Arial"/>
          <w:color w:val="333333"/>
          <w:lang w:val="es-ES"/>
        </w:rPr>
        <w:t xml:space="preserve"> </w:t>
      </w:r>
      <w:r w:rsidR="00093B9D">
        <w:rPr>
          <w:rFonts w:ascii="Trebuchet MS" w:hAnsi="Trebuchet MS"/>
        </w:rPr>
        <w:t xml:space="preserve">La Administración del Estado responde por los daños que tengan causa directa y necesaria en faltas de servicio.  </w:t>
      </w:r>
      <w:r w:rsidR="00093B9D">
        <w:rPr>
          <w:rFonts w:ascii="Trebuchet MS" w:hAnsi="Trebuchet MS"/>
          <w:lang w:val="es-ES"/>
        </w:rPr>
        <w:t xml:space="preserve">Son </w:t>
      </w:r>
      <w:r>
        <w:rPr>
          <w:rFonts w:ascii="Trebuchet MS" w:hAnsi="Trebuchet MS"/>
        </w:rPr>
        <w:t>perjuicios indemnizables</w:t>
      </w:r>
      <w:r w:rsidR="00093B9D">
        <w:rPr>
          <w:rFonts w:ascii="Trebuchet MS" w:hAnsi="Trebuchet MS"/>
        </w:rPr>
        <w:t xml:space="preserve"> los materiales o patrimoniales, ya sea daño emergente </w:t>
      </w:r>
      <w:r>
        <w:rPr>
          <w:rFonts w:ascii="Trebuchet MS" w:hAnsi="Trebuchet MS"/>
        </w:rPr>
        <w:t>o lucro</w:t>
      </w:r>
      <w:r w:rsidR="00093B9D">
        <w:rPr>
          <w:rFonts w:ascii="Trebuchet MS" w:hAnsi="Trebuchet MS"/>
        </w:rPr>
        <w:t xml:space="preserve"> cesante; los </w:t>
      </w:r>
      <w:r>
        <w:rPr>
          <w:rFonts w:ascii="Trebuchet MS" w:hAnsi="Trebuchet MS"/>
        </w:rPr>
        <w:t>extrapatrimoniales,</w:t>
      </w:r>
      <w:r w:rsidR="00093B9D">
        <w:rPr>
          <w:rFonts w:ascii="Trebuchet MS" w:hAnsi="Trebuchet MS"/>
        </w:rPr>
        <w:t xml:space="preserve"> no sólo el pretium doloris; y la pérdida de oportunidades.</w:t>
      </w:r>
    </w:p>
    <w:p w14:paraId="2AC640A5" w14:textId="77777777" w:rsidR="00093B9D" w:rsidRDefault="00093B9D" w:rsidP="002707E4">
      <w:pPr>
        <w:spacing w:line="240" w:lineRule="auto"/>
        <w:jc w:val="both"/>
        <w:rPr>
          <w:rFonts w:ascii="Arial" w:hAnsi="Arial" w:cs="Arial"/>
          <w:color w:val="333333"/>
          <w:sz w:val="4"/>
          <w:szCs w:val="4"/>
          <w:lang w:val="es-ES"/>
        </w:rPr>
      </w:pPr>
    </w:p>
    <w:p w14:paraId="2AE2D2B9" w14:textId="77777777" w:rsidR="005427B1" w:rsidRDefault="005427B1" w:rsidP="002707E4">
      <w:pPr>
        <w:spacing w:line="240" w:lineRule="auto"/>
        <w:jc w:val="both"/>
        <w:rPr>
          <w:rFonts w:ascii="Arial" w:hAnsi="Arial" w:cs="Arial"/>
          <w:color w:val="333333"/>
          <w:sz w:val="4"/>
          <w:szCs w:val="4"/>
          <w:lang w:val="es-ES"/>
        </w:rPr>
      </w:pPr>
    </w:p>
    <w:p w14:paraId="586E35DE" w14:textId="77777777" w:rsidR="005427B1" w:rsidRDefault="005427B1" w:rsidP="002707E4">
      <w:pPr>
        <w:spacing w:line="240" w:lineRule="auto"/>
        <w:jc w:val="both"/>
        <w:rPr>
          <w:rFonts w:ascii="Arial" w:hAnsi="Arial" w:cs="Arial"/>
          <w:color w:val="333333"/>
          <w:sz w:val="4"/>
          <w:szCs w:val="4"/>
          <w:lang w:val="es-ES"/>
        </w:rPr>
      </w:pPr>
    </w:p>
    <w:p w14:paraId="2C391659" w14:textId="77777777" w:rsidR="005427B1" w:rsidRDefault="005427B1" w:rsidP="002707E4">
      <w:pPr>
        <w:spacing w:line="240" w:lineRule="auto"/>
        <w:jc w:val="both"/>
        <w:rPr>
          <w:rFonts w:ascii="Arial" w:hAnsi="Arial" w:cs="Arial"/>
          <w:color w:val="333333"/>
          <w:sz w:val="4"/>
          <w:szCs w:val="4"/>
          <w:lang w:val="es-ES"/>
        </w:rPr>
      </w:pPr>
    </w:p>
    <w:p w14:paraId="1C8B1965" w14:textId="77777777" w:rsidR="005427B1" w:rsidRDefault="005427B1" w:rsidP="002707E4">
      <w:pPr>
        <w:spacing w:line="240" w:lineRule="auto"/>
        <w:jc w:val="both"/>
        <w:rPr>
          <w:rFonts w:ascii="Arial" w:hAnsi="Arial" w:cs="Arial"/>
          <w:color w:val="333333"/>
          <w:sz w:val="4"/>
          <w:szCs w:val="4"/>
          <w:lang w:val="es-ES"/>
        </w:rPr>
      </w:pPr>
    </w:p>
    <w:p w14:paraId="59B92A1C" w14:textId="77777777" w:rsidR="005427B1" w:rsidRDefault="005427B1" w:rsidP="002707E4">
      <w:pPr>
        <w:spacing w:line="240" w:lineRule="auto"/>
        <w:jc w:val="both"/>
        <w:rPr>
          <w:rFonts w:ascii="Arial" w:hAnsi="Arial" w:cs="Arial"/>
          <w:color w:val="333333"/>
          <w:sz w:val="4"/>
          <w:szCs w:val="4"/>
          <w:lang w:val="es-ES"/>
        </w:rPr>
      </w:pPr>
    </w:p>
    <w:p w14:paraId="492FDB8A" w14:textId="77777777" w:rsidR="005427B1" w:rsidRPr="00093B9D" w:rsidRDefault="005427B1" w:rsidP="002707E4">
      <w:pPr>
        <w:spacing w:line="240" w:lineRule="auto"/>
        <w:jc w:val="both"/>
        <w:rPr>
          <w:rFonts w:ascii="Arial" w:hAnsi="Arial" w:cs="Arial"/>
          <w:color w:val="333333"/>
          <w:sz w:val="4"/>
          <w:szCs w:val="4"/>
          <w:lang w:val="es-ES"/>
        </w:rPr>
      </w:pPr>
    </w:p>
    <w:p w14:paraId="165F4806" w14:textId="77777777" w:rsidR="002707E4" w:rsidRPr="008C543E" w:rsidRDefault="002707E4" w:rsidP="002707E4">
      <w:pPr>
        <w:spacing w:line="240" w:lineRule="auto"/>
        <w:jc w:val="both"/>
        <w:rPr>
          <w:rFonts w:ascii="Trebuchet MS" w:hAnsi="Trebuchet MS"/>
          <w:sz w:val="2"/>
          <w:szCs w:val="2"/>
        </w:rPr>
      </w:pPr>
    </w:p>
    <w:sectPr w:rsidR="002707E4" w:rsidRPr="008C543E" w:rsidSect="00F539B3">
      <w:pgSz w:w="11900" w:h="18700"/>
      <w:pgMar w:top="2621" w:right="1701" w:bottom="157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CF88" w14:textId="77777777" w:rsidR="00C40482" w:rsidRDefault="00C40482" w:rsidP="002707E4">
      <w:pPr>
        <w:spacing w:after="0" w:line="240" w:lineRule="auto"/>
      </w:pPr>
      <w:r>
        <w:separator/>
      </w:r>
    </w:p>
  </w:endnote>
  <w:endnote w:type="continuationSeparator" w:id="0">
    <w:p w14:paraId="4AF0AFA7" w14:textId="77777777" w:rsidR="00C40482" w:rsidRDefault="00C40482" w:rsidP="002707E4">
      <w:pPr>
        <w:spacing w:after="0" w:line="240" w:lineRule="auto"/>
      </w:pPr>
      <w:r>
        <w:continuationSeparator/>
      </w:r>
    </w:p>
  </w:endnote>
  <w:endnote w:type="continuationNotice" w:id="1">
    <w:p w14:paraId="2EDF2474" w14:textId="77777777" w:rsidR="00C40482" w:rsidRDefault="00C40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D8C8" w14:textId="77777777" w:rsidR="00C40482" w:rsidRDefault="00C40482" w:rsidP="002707E4">
      <w:pPr>
        <w:spacing w:after="0" w:line="240" w:lineRule="auto"/>
      </w:pPr>
      <w:r>
        <w:separator/>
      </w:r>
    </w:p>
  </w:footnote>
  <w:footnote w:type="continuationSeparator" w:id="0">
    <w:p w14:paraId="318DFE0E" w14:textId="77777777" w:rsidR="00C40482" w:rsidRDefault="00C40482" w:rsidP="002707E4">
      <w:pPr>
        <w:spacing w:after="0" w:line="240" w:lineRule="auto"/>
      </w:pPr>
      <w:r>
        <w:continuationSeparator/>
      </w:r>
    </w:p>
  </w:footnote>
  <w:footnote w:type="continuationNotice" w:id="1">
    <w:p w14:paraId="6214A13D" w14:textId="77777777" w:rsidR="00C40482" w:rsidRDefault="00C40482">
      <w:pPr>
        <w:spacing w:after="0" w:line="240" w:lineRule="auto"/>
      </w:pPr>
    </w:p>
  </w:footnote>
  <w:footnote w:id="2">
    <w:p w14:paraId="50B40E37" w14:textId="79F7277F" w:rsidR="00F764CB" w:rsidRPr="00BD2C73" w:rsidRDefault="00F764CB" w:rsidP="00BD2C73">
      <w:pPr>
        <w:pStyle w:val="Textonotapie"/>
        <w:jc w:val="both"/>
        <w:rPr>
          <w:rFonts w:ascii="Abadi" w:hAnsi="Abadi"/>
          <w:sz w:val="16"/>
          <w:szCs w:val="16"/>
          <w:lang w:val="es-ES"/>
        </w:rPr>
      </w:pPr>
      <w:r w:rsidRPr="00BE1525">
        <w:rPr>
          <w:rStyle w:val="Refdenotaalpie"/>
          <w:rFonts w:ascii="Abadi" w:hAnsi="Abadi"/>
        </w:rPr>
        <w:footnoteRef/>
      </w:r>
      <w:r w:rsidRPr="00BE1525">
        <w:rPr>
          <w:rFonts w:ascii="Abadi" w:hAnsi="Abadi"/>
        </w:rPr>
        <w:t xml:space="preserve"> </w:t>
      </w:r>
      <w:r w:rsidRPr="00BD2C73">
        <w:rPr>
          <w:rFonts w:ascii="Abadi" w:hAnsi="Abadi"/>
          <w:sz w:val="16"/>
          <w:szCs w:val="16"/>
        </w:rPr>
        <w:t>MARIENHOFF, Miguel. 1997. Tratado de Derecho Administrativo. Editorial Abeledo Perrot, Buenos Aires. pp. 727 y 728.</w:t>
      </w:r>
    </w:p>
  </w:footnote>
  <w:footnote w:id="3">
    <w:p w14:paraId="462C5393" w14:textId="6DE63E2F" w:rsidR="007C7667" w:rsidRPr="00BD2C73" w:rsidRDefault="007C7667" w:rsidP="00BD2C73">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003D39E5" w:rsidRPr="00BD2C73">
        <w:rPr>
          <w:rFonts w:ascii="Abadi" w:hAnsi="Abadi"/>
          <w:sz w:val="16"/>
          <w:szCs w:val="16"/>
        </w:rPr>
        <w:t>Eduardo García de Enterría y Tomás-Ramón Fernández, Curso de Derecho Administrativo, Tomo II, Editorial Civitas, página 358.</w:t>
      </w:r>
    </w:p>
  </w:footnote>
  <w:footnote w:id="4">
    <w:p w14:paraId="399350C3" w14:textId="5383C058" w:rsidR="00F57CD8" w:rsidRPr="00BD2C73" w:rsidRDefault="00F57CD8" w:rsidP="00BD2C73">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sz w:val="16"/>
          <w:szCs w:val="16"/>
          <w:lang w:val="es-ES"/>
        </w:rPr>
        <w:t>Ibidem</w:t>
      </w:r>
    </w:p>
  </w:footnote>
  <w:footnote w:id="5">
    <w:p w14:paraId="787C462D" w14:textId="05C3A0B3" w:rsidR="00FF65F1" w:rsidRPr="00FF65F1" w:rsidRDefault="00FF65F1" w:rsidP="00BD2C73">
      <w:pPr>
        <w:pStyle w:val="Textonotapie"/>
        <w:jc w:val="both"/>
        <w:rPr>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sz w:val="16"/>
          <w:szCs w:val="16"/>
          <w:lang w:val="es-ES"/>
        </w:rPr>
        <w:t>Op.cit</w:t>
      </w:r>
      <w:r w:rsidR="002312CF" w:rsidRPr="00BD2C73">
        <w:rPr>
          <w:rFonts w:ascii="Abadi" w:hAnsi="Abadi"/>
          <w:sz w:val="16"/>
          <w:szCs w:val="16"/>
          <w:lang w:val="es-ES"/>
        </w:rPr>
        <w:t>. página 378</w:t>
      </w:r>
    </w:p>
  </w:footnote>
  <w:footnote w:id="6">
    <w:p w14:paraId="14ABC18F" w14:textId="185E2E10" w:rsidR="009D63CD" w:rsidRPr="00BD2C73" w:rsidRDefault="009D63CD" w:rsidP="00BD2C73">
      <w:pPr>
        <w:pStyle w:val="Textonotapie"/>
        <w:jc w:val="both"/>
        <w:rPr>
          <w:rFonts w:ascii="Abadi" w:hAnsi="Abadi"/>
          <w:sz w:val="16"/>
          <w:szCs w:val="16"/>
          <w:lang w:val="es-ES"/>
        </w:rPr>
      </w:pPr>
      <w:r>
        <w:rPr>
          <w:rStyle w:val="Refdenotaalpie"/>
        </w:rPr>
        <w:footnoteRef/>
      </w:r>
      <w:r>
        <w:t xml:space="preserve"> </w:t>
      </w:r>
      <w:r w:rsidRPr="00BD2C73">
        <w:rPr>
          <w:rFonts w:ascii="Abadi" w:hAnsi="Abadi"/>
          <w:sz w:val="16"/>
          <w:szCs w:val="16"/>
        </w:rPr>
        <w:t xml:space="preserve">Corte Suprema. Rol 39.484/2017, 2 octubre 2018. Sentencia de reemplazo, Prevención </w:t>
      </w:r>
      <w:proofErr w:type="gramStart"/>
      <w:r w:rsidRPr="00BD2C73">
        <w:rPr>
          <w:rFonts w:ascii="Abadi" w:hAnsi="Abadi"/>
          <w:sz w:val="16"/>
          <w:szCs w:val="16"/>
        </w:rPr>
        <w:t>Ministro</w:t>
      </w:r>
      <w:proofErr w:type="gramEnd"/>
      <w:r w:rsidRPr="00BD2C73">
        <w:rPr>
          <w:rFonts w:ascii="Abadi" w:hAnsi="Abadi"/>
          <w:sz w:val="16"/>
          <w:szCs w:val="16"/>
        </w:rPr>
        <w:t xml:space="preserve"> Sr. Muñoz, Numeral 3°.</w:t>
      </w:r>
    </w:p>
  </w:footnote>
  <w:footnote w:id="7">
    <w:p w14:paraId="79593A32" w14:textId="0E552688" w:rsidR="003E7D40" w:rsidRPr="00BD2C73" w:rsidRDefault="003E7D40" w:rsidP="00BD2C73">
      <w:pPr>
        <w:pStyle w:val="Textonotapie"/>
        <w:jc w:val="both"/>
        <w:rPr>
          <w:rFonts w:ascii="Abadi" w:hAnsi="Abadi"/>
          <w:sz w:val="16"/>
          <w:szCs w:val="16"/>
        </w:rPr>
      </w:pPr>
      <w:r w:rsidRPr="00BD2C73">
        <w:rPr>
          <w:rStyle w:val="Refdenotaalpie"/>
          <w:rFonts w:ascii="Abadi" w:hAnsi="Abadi"/>
          <w:sz w:val="16"/>
          <w:szCs w:val="16"/>
        </w:rPr>
        <w:footnoteRef/>
      </w:r>
      <w:r w:rsidRPr="00BD2C73">
        <w:rPr>
          <w:rFonts w:ascii="Abadi" w:hAnsi="Abadi"/>
          <w:sz w:val="16"/>
          <w:szCs w:val="16"/>
        </w:rPr>
        <w:t xml:space="preserve"> Corte Suprema Rol: 104602 -</w:t>
      </w:r>
      <w:r w:rsidR="00617EB6" w:rsidRPr="00BD2C73">
        <w:rPr>
          <w:rFonts w:ascii="Abadi" w:hAnsi="Abadi"/>
          <w:sz w:val="16"/>
          <w:szCs w:val="16"/>
        </w:rPr>
        <w:t>2020,</w:t>
      </w:r>
      <w:r w:rsidRPr="00BD2C73">
        <w:rPr>
          <w:rFonts w:ascii="Abadi" w:hAnsi="Abadi"/>
          <w:sz w:val="16"/>
          <w:szCs w:val="16"/>
        </w:rPr>
        <w:t xml:space="preserve"> Casación Fondo A</w:t>
      </w:r>
      <w:r w:rsidR="0097497A" w:rsidRPr="00BD2C73">
        <w:rPr>
          <w:rFonts w:ascii="Abadi" w:hAnsi="Abadi"/>
          <w:sz w:val="16"/>
          <w:szCs w:val="16"/>
        </w:rPr>
        <w:t>lvarado</w:t>
      </w:r>
      <w:r w:rsidRPr="00BD2C73">
        <w:rPr>
          <w:rFonts w:ascii="Abadi" w:hAnsi="Abadi"/>
          <w:sz w:val="16"/>
          <w:szCs w:val="16"/>
        </w:rPr>
        <w:t>/H</w:t>
      </w:r>
      <w:r w:rsidR="0097497A" w:rsidRPr="00BD2C73">
        <w:rPr>
          <w:rFonts w:ascii="Abadi" w:hAnsi="Abadi"/>
          <w:sz w:val="16"/>
          <w:szCs w:val="16"/>
        </w:rPr>
        <w:t>ospital Clínico de Magallanes.</w:t>
      </w:r>
    </w:p>
  </w:footnote>
  <w:footnote w:id="8">
    <w:p w14:paraId="1987930E" w14:textId="59623F8E" w:rsidR="00413774" w:rsidRPr="00BD2C73" w:rsidRDefault="00413774" w:rsidP="00BD2C73">
      <w:pPr>
        <w:pStyle w:val="Textonotapie"/>
        <w:jc w:val="both"/>
        <w:rPr>
          <w:rFonts w:ascii="Abadi" w:hAnsi="Abadi"/>
          <w:sz w:val="16"/>
          <w:szCs w:val="16"/>
        </w:rPr>
      </w:pPr>
      <w:r w:rsidRPr="00BD2C73">
        <w:rPr>
          <w:rStyle w:val="Refdenotaalpie"/>
          <w:rFonts w:ascii="Abadi" w:hAnsi="Abadi"/>
          <w:sz w:val="16"/>
          <w:szCs w:val="16"/>
        </w:rPr>
        <w:footnoteRef/>
      </w:r>
      <w:r w:rsidRPr="00BD2C73">
        <w:rPr>
          <w:rFonts w:ascii="Abadi" w:hAnsi="Abadi"/>
          <w:sz w:val="16"/>
          <w:szCs w:val="16"/>
        </w:rPr>
        <w:t xml:space="preserve">  B</w:t>
      </w:r>
      <w:r w:rsidR="00BE1525" w:rsidRPr="00BD2C73">
        <w:rPr>
          <w:rFonts w:ascii="Abadi" w:hAnsi="Abadi"/>
          <w:sz w:val="16"/>
          <w:szCs w:val="16"/>
        </w:rPr>
        <w:t>ermúdez</w:t>
      </w:r>
      <w:r w:rsidRPr="00BD2C73">
        <w:rPr>
          <w:rFonts w:ascii="Abadi" w:hAnsi="Abadi"/>
          <w:sz w:val="16"/>
          <w:szCs w:val="16"/>
        </w:rPr>
        <w:t xml:space="preserve"> S</w:t>
      </w:r>
      <w:r w:rsidR="00BE1525" w:rsidRPr="00BD2C73">
        <w:rPr>
          <w:rFonts w:ascii="Abadi" w:hAnsi="Abadi"/>
          <w:sz w:val="16"/>
          <w:szCs w:val="16"/>
        </w:rPr>
        <w:t>oto, Jorge</w:t>
      </w:r>
      <w:r w:rsidRPr="00BD2C73">
        <w:rPr>
          <w:rFonts w:ascii="Abadi" w:hAnsi="Abadi"/>
          <w:sz w:val="16"/>
          <w:szCs w:val="16"/>
        </w:rPr>
        <w:t xml:space="preserve">:  </w:t>
      </w:r>
      <w:r w:rsidR="00BE1525" w:rsidRPr="00BD2C73">
        <w:rPr>
          <w:rFonts w:ascii="Abadi" w:hAnsi="Abadi"/>
          <w:sz w:val="16"/>
          <w:szCs w:val="16"/>
        </w:rPr>
        <w:t>La responsabilidad extracontractual de la administración de Estado por falta de servicio y por el daño ambiental</w:t>
      </w:r>
      <w:r w:rsidRPr="00BD2C73">
        <w:rPr>
          <w:rFonts w:ascii="Abadi" w:hAnsi="Abadi"/>
          <w:sz w:val="16"/>
          <w:szCs w:val="16"/>
        </w:rPr>
        <w:t xml:space="preserve">. Revista de Derecho de la Universidad Católica de Valparaíso XXIII (Valparaíso, Chile, 2002) </w:t>
      </w:r>
    </w:p>
    <w:p w14:paraId="0A2E99B9" w14:textId="012130B8" w:rsidR="00413774" w:rsidRPr="00413774" w:rsidRDefault="00413774">
      <w:pPr>
        <w:pStyle w:val="Textonotapie"/>
        <w:rPr>
          <w:lang w:val="es-ES"/>
        </w:rPr>
      </w:pPr>
    </w:p>
  </w:footnote>
  <w:footnote w:id="9">
    <w:p w14:paraId="10C33913" w14:textId="3A9FE3F3" w:rsidR="00A407E7" w:rsidRPr="00F539B3" w:rsidRDefault="00A407E7" w:rsidP="00FB06CA">
      <w:pPr>
        <w:pStyle w:val="Textonotapie"/>
        <w:jc w:val="both"/>
        <w:rPr>
          <w:rFonts w:ascii="Abadi" w:hAnsi="Abadi"/>
          <w:color w:val="000000" w:themeColor="text1"/>
          <w:sz w:val="16"/>
          <w:szCs w:val="16"/>
        </w:rPr>
      </w:pPr>
      <w:r w:rsidRPr="00F539B3">
        <w:rPr>
          <w:rStyle w:val="Refdenotaalpie"/>
          <w:rFonts w:ascii="Abadi" w:hAnsi="Abadi"/>
          <w:color w:val="000000" w:themeColor="text1"/>
        </w:rPr>
        <w:footnoteRef/>
      </w:r>
      <w:r w:rsidRPr="00F539B3">
        <w:rPr>
          <w:rFonts w:ascii="Abadi" w:hAnsi="Abadi"/>
          <w:color w:val="000000" w:themeColor="text1"/>
        </w:rPr>
        <w:t xml:space="preserve"> </w:t>
      </w:r>
      <w:r w:rsidRPr="00F539B3">
        <w:rPr>
          <w:rFonts w:ascii="Abadi" w:hAnsi="Abadi"/>
          <w:color w:val="000000" w:themeColor="text1"/>
          <w:sz w:val="16"/>
          <w:szCs w:val="16"/>
        </w:rPr>
        <w:t>Ferrada Bórquez, J. C. (2020</w:t>
      </w:r>
      <w:r w:rsidR="00617EB6" w:rsidRPr="00F539B3">
        <w:rPr>
          <w:rFonts w:ascii="Abadi" w:hAnsi="Abadi"/>
          <w:color w:val="000000" w:themeColor="text1"/>
          <w:sz w:val="16"/>
          <w:szCs w:val="16"/>
        </w:rPr>
        <w:t>). La</w:t>
      </w:r>
      <w:r w:rsidRPr="00F539B3">
        <w:rPr>
          <w:rFonts w:ascii="Abadi" w:hAnsi="Abadi"/>
          <w:color w:val="000000" w:themeColor="text1"/>
          <w:sz w:val="16"/>
          <w:szCs w:val="16"/>
        </w:rPr>
        <w:t xml:space="preserve"> responsabilidad patrimonial del Estado de Chile: una revisión panorámica después de casi veinte años de jurisprudencia de la Corte Suprema. Revista de Administración Pública, 211, 373-406.doi: </w:t>
      </w:r>
      <w:hyperlink r:id="rId1" w:history="1">
        <w:r w:rsidRPr="00F539B3">
          <w:rPr>
            <w:rStyle w:val="Hipervnculo"/>
            <w:rFonts w:ascii="Abadi" w:hAnsi="Abadi"/>
            <w:color w:val="000000" w:themeColor="text1"/>
            <w:sz w:val="16"/>
            <w:szCs w:val="16"/>
          </w:rPr>
          <w:t>https://doi.org/10.18042/cepc/rap.211.15</w:t>
        </w:r>
      </w:hyperlink>
    </w:p>
  </w:footnote>
  <w:footnote w:id="10">
    <w:p w14:paraId="60B314FA" w14:textId="367249E5" w:rsidR="0076613B" w:rsidRPr="00BD2C73" w:rsidRDefault="0076613B" w:rsidP="00BD2C73">
      <w:pPr>
        <w:shd w:val="clear" w:color="auto" w:fill="FFFFFF"/>
        <w:spacing w:after="0" w:line="240" w:lineRule="auto"/>
        <w:jc w:val="both"/>
        <w:rPr>
          <w:rFonts w:ascii="Abadi" w:eastAsia="Times New Roman" w:hAnsi="Abadi" w:cs="Arial"/>
          <w:b/>
          <w:bCs/>
          <w:color w:val="212529"/>
          <w:sz w:val="16"/>
          <w:szCs w:val="16"/>
          <w:lang w:eastAsia="es-CL"/>
        </w:rPr>
      </w:pPr>
      <w:r w:rsidRPr="00F539B3">
        <w:rPr>
          <w:rStyle w:val="Refdenotaalpie"/>
          <w:rFonts w:ascii="Abadi" w:hAnsi="Abadi"/>
          <w:color w:val="000000" w:themeColor="text1"/>
          <w:sz w:val="16"/>
          <w:szCs w:val="16"/>
        </w:rPr>
        <w:footnoteRef/>
      </w:r>
      <w:r w:rsidRPr="00F539B3">
        <w:rPr>
          <w:rFonts w:ascii="Abadi" w:hAnsi="Abadi"/>
          <w:color w:val="000000" w:themeColor="text1"/>
          <w:sz w:val="16"/>
          <w:szCs w:val="16"/>
        </w:rPr>
        <w:t xml:space="preserve"> Letelier, Raúl (coord.). La falta de servicio. Abeledo </w:t>
      </w:r>
      <w:r w:rsidRPr="00BD2C73">
        <w:rPr>
          <w:rFonts w:ascii="Abadi" w:hAnsi="Abadi"/>
          <w:sz w:val="16"/>
          <w:szCs w:val="16"/>
        </w:rPr>
        <w:t>Perrot, Santiago. p. 58.</w:t>
      </w:r>
    </w:p>
  </w:footnote>
  <w:footnote w:id="11">
    <w:p w14:paraId="5685918C" w14:textId="2F87AD6A" w:rsidR="00BE231B" w:rsidRPr="00BD2C73" w:rsidRDefault="00BE231B" w:rsidP="00BE231B">
      <w:pPr>
        <w:spacing w:after="0" w:line="240" w:lineRule="auto"/>
        <w:jc w:val="both"/>
        <w:rPr>
          <w:rFonts w:ascii="Abadi" w:hAnsi="Abadi"/>
          <w:sz w:val="16"/>
          <w:szCs w:val="16"/>
        </w:rPr>
      </w:pPr>
      <w:r>
        <w:rPr>
          <w:rStyle w:val="Refdenotaalpie"/>
        </w:rPr>
        <w:footnoteRef/>
      </w:r>
      <w:r>
        <w:t xml:space="preserve"> </w:t>
      </w:r>
      <w:r w:rsidRPr="00BD2C73">
        <w:rPr>
          <w:rFonts w:ascii="Abadi" w:hAnsi="Abadi"/>
          <w:sz w:val="16"/>
          <w:szCs w:val="16"/>
        </w:rPr>
        <w:t>CORTE SUPREMA. ROL 97.722/2016, 23 ENERO 2018. CONSIDERANDO CUARTO CORTE SUPREMA. ROL 21.793/2017, 27 FEBRERO 2018. CONSIDERANDO QUINTO CORTE SUPREMA. ROL 39.484/2017, 2 OCTUBRE 2018. SENTENCIA DE REEMPLAZO, CONSIDERANDO SÉPTIMO CORTE SUPREMA. ROL 871/2018, 8 NOVIEMBRE 2018. SENTENCIA DE REEMPLAZO, CONSIDERANDO SEGUNDO.</w:t>
      </w:r>
    </w:p>
  </w:footnote>
  <w:footnote w:id="12">
    <w:p w14:paraId="2FCC7441" w14:textId="6D8F94DE" w:rsidR="00BE231B" w:rsidRPr="00BD2C73" w:rsidRDefault="00BE231B">
      <w:pPr>
        <w:pStyle w:val="Textonotapie"/>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sz w:val="16"/>
          <w:szCs w:val="16"/>
          <w:lang w:val="es-ES"/>
        </w:rPr>
        <w:t>Ib</w:t>
      </w:r>
      <w:r w:rsidR="00F272E2" w:rsidRPr="00BD2C73">
        <w:rPr>
          <w:rFonts w:ascii="Abadi" w:hAnsi="Abadi"/>
          <w:sz w:val="16"/>
          <w:szCs w:val="16"/>
          <w:lang w:val="es-ES"/>
        </w:rPr>
        <w:t>idem</w:t>
      </w:r>
    </w:p>
  </w:footnote>
  <w:footnote w:id="13">
    <w:p w14:paraId="33F8BEF2" w14:textId="2EB90A9F" w:rsidR="005B52FB" w:rsidRPr="00BD2C73" w:rsidRDefault="005B52FB">
      <w:pPr>
        <w:pStyle w:val="Textonotapie"/>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sz w:val="16"/>
          <w:szCs w:val="16"/>
          <w:lang w:val="es-ES"/>
        </w:rPr>
        <w:t>Ibidem</w:t>
      </w:r>
    </w:p>
  </w:footnote>
  <w:footnote w:id="14">
    <w:p w14:paraId="6847097D" w14:textId="77777777" w:rsidR="00C6580C" w:rsidRPr="00BD2C73" w:rsidRDefault="00C6580C" w:rsidP="00BE231B">
      <w:pPr>
        <w:spacing w:after="0" w:line="240" w:lineRule="auto"/>
        <w:jc w:val="both"/>
        <w:rPr>
          <w:rFonts w:ascii="Abadi" w:hAnsi="Abadi"/>
          <w:sz w:val="16"/>
          <w:szCs w:val="16"/>
        </w:rPr>
      </w:pPr>
      <w:r w:rsidRPr="00BD2C73">
        <w:rPr>
          <w:rStyle w:val="Refdenotaalpie"/>
          <w:rFonts w:ascii="Abadi" w:hAnsi="Abadi"/>
          <w:sz w:val="16"/>
          <w:szCs w:val="16"/>
        </w:rPr>
        <w:footnoteRef/>
      </w:r>
      <w:r w:rsidRPr="00BD2C73">
        <w:rPr>
          <w:rFonts w:ascii="Abadi" w:hAnsi="Abadi"/>
          <w:sz w:val="16"/>
          <w:szCs w:val="16"/>
        </w:rPr>
        <w:t xml:space="preserve"> Patosí Zambrano con Fisco de Chile. Corte de Apelaciones de Santiago, 10 de </w:t>
      </w:r>
      <w:proofErr w:type="gramStart"/>
      <w:r w:rsidRPr="00BD2C73">
        <w:rPr>
          <w:rFonts w:ascii="Abadi" w:hAnsi="Abadi"/>
          <w:sz w:val="16"/>
          <w:szCs w:val="16"/>
        </w:rPr>
        <w:t>Octubre</w:t>
      </w:r>
      <w:proofErr w:type="gramEnd"/>
      <w:r w:rsidRPr="00BD2C73">
        <w:rPr>
          <w:rFonts w:ascii="Abadi" w:hAnsi="Abadi"/>
          <w:sz w:val="16"/>
          <w:szCs w:val="16"/>
        </w:rPr>
        <w:t xml:space="preserve"> de 2000.</w:t>
      </w:r>
    </w:p>
  </w:footnote>
  <w:footnote w:id="15">
    <w:p w14:paraId="5AB32CD0" w14:textId="2BFC709F" w:rsidR="00056F74" w:rsidRPr="0097497A" w:rsidRDefault="00056F74" w:rsidP="00BE231B">
      <w:pPr>
        <w:spacing w:after="0" w:line="240" w:lineRule="auto"/>
        <w:jc w:val="both"/>
        <w:rPr>
          <w:rFonts w:ascii="Abadi" w:hAnsi="Abadi"/>
          <w:sz w:val="20"/>
          <w:szCs w:val="20"/>
        </w:rPr>
      </w:pPr>
      <w:r w:rsidRPr="00BD2C73">
        <w:rPr>
          <w:rStyle w:val="Refdenotaalpie"/>
          <w:rFonts w:ascii="Abadi" w:hAnsi="Abadi"/>
          <w:sz w:val="16"/>
          <w:szCs w:val="16"/>
        </w:rPr>
        <w:footnoteRef/>
      </w:r>
      <w:r w:rsidRPr="00BD2C73">
        <w:rPr>
          <w:rFonts w:ascii="Abadi" w:hAnsi="Abadi"/>
          <w:sz w:val="16"/>
          <w:szCs w:val="16"/>
        </w:rPr>
        <w:t xml:space="preserve"> Corte Suprema. ROL 21.793- de 27 febrero 2018. Considerando quinto</w:t>
      </w:r>
      <w:r w:rsidR="0097497A" w:rsidRPr="00BD2C73">
        <w:rPr>
          <w:rFonts w:ascii="Abadi" w:hAnsi="Abadi"/>
          <w:sz w:val="16"/>
          <w:szCs w:val="16"/>
        </w:rPr>
        <w:t>.</w:t>
      </w:r>
      <w:r w:rsidRPr="0097497A">
        <w:rPr>
          <w:rFonts w:ascii="Abadi" w:hAnsi="Abadi"/>
          <w:sz w:val="20"/>
          <w:szCs w:val="20"/>
        </w:rPr>
        <w:t xml:space="preserve"> </w:t>
      </w:r>
    </w:p>
  </w:footnote>
  <w:footnote w:id="16">
    <w:p w14:paraId="3211006A" w14:textId="397D3319" w:rsidR="00C63E83" w:rsidRPr="00BD2C73" w:rsidRDefault="00C63E83" w:rsidP="0097497A">
      <w:pPr>
        <w:pStyle w:val="Textonotapie"/>
        <w:jc w:val="both"/>
        <w:rPr>
          <w:sz w:val="16"/>
          <w:szCs w:val="16"/>
        </w:rPr>
      </w:pPr>
      <w:r w:rsidRPr="0097497A">
        <w:rPr>
          <w:rStyle w:val="Refdenotaalpie"/>
          <w:rFonts w:ascii="Abadi" w:hAnsi="Abadi"/>
        </w:rPr>
        <w:footnoteRef/>
      </w:r>
      <w:r w:rsidRPr="0097497A">
        <w:rPr>
          <w:rFonts w:ascii="Abadi" w:hAnsi="Abadi"/>
        </w:rPr>
        <w:t xml:space="preserve"> </w:t>
      </w:r>
      <w:r w:rsidRPr="00BD2C73">
        <w:rPr>
          <w:rFonts w:ascii="Abadi" w:hAnsi="Abadi"/>
          <w:sz w:val="16"/>
          <w:szCs w:val="16"/>
        </w:rPr>
        <w:t xml:space="preserve">Corte Suprema. Rol 39.484/2017, 2 octubre 2018. Sentencia de reemplazo, Prevención </w:t>
      </w:r>
      <w:proofErr w:type="gramStart"/>
      <w:r w:rsidRPr="00BD2C73">
        <w:rPr>
          <w:rFonts w:ascii="Abadi" w:hAnsi="Abadi"/>
          <w:sz w:val="16"/>
          <w:szCs w:val="16"/>
        </w:rPr>
        <w:t>Ministro</w:t>
      </w:r>
      <w:proofErr w:type="gramEnd"/>
      <w:r w:rsidRPr="00BD2C73">
        <w:rPr>
          <w:rFonts w:ascii="Abadi" w:hAnsi="Abadi"/>
          <w:sz w:val="16"/>
          <w:szCs w:val="16"/>
        </w:rPr>
        <w:t xml:space="preserve"> Señor </w:t>
      </w:r>
      <w:r w:rsidR="00617EB6" w:rsidRPr="00BD2C73">
        <w:rPr>
          <w:rFonts w:ascii="Abadi" w:hAnsi="Abadi"/>
          <w:sz w:val="16"/>
          <w:szCs w:val="16"/>
        </w:rPr>
        <w:t>Sergio Muñoz</w:t>
      </w:r>
      <w:r w:rsidRPr="00BD2C73">
        <w:rPr>
          <w:rFonts w:ascii="Abadi" w:hAnsi="Abadi"/>
          <w:sz w:val="16"/>
          <w:szCs w:val="16"/>
        </w:rPr>
        <w:t>, Numeral 5°</w:t>
      </w:r>
      <w:r w:rsidR="0097497A" w:rsidRPr="00BD2C73">
        <w:rPr>
          <w:rFonts w:ascii="Abadi" w:hAnsi="Abadi"/>
          <w:sz w:val="16"/>
          <w:szCs w:val="16"/>
        </w:rPr>
        <w:t>.</w:t>
      </w:r>
    </w:p>
  </w:footnote>
  <w:footnote w:id="17">
    <w:p w14:paraId="0EC4D1C4" w14:textId="55B49324" w:rsidR="00A86031" w:rsidRPr="00BD2C73" w:rsidRDefault="00A86031">
      <w:pPr>
        <w:pStyle w:val="Textonotapie"/>
        <w:rPr>
          <w:sz w:val="16"/>
          <w:szCs w:val="16"/>
          <w:lang w:val="es-ES"/>
        </w:rPr>
      </w:pPr>
      <w:r w:rsidRPr="00BD2C73">
        <w:rPr>
          <w:rStyle w:val="Refdenotaalpie"/>
          <w:sz w:val="16"/>
          <w:szCs w:val="16"/>
        </w:rPr>
        <w:footnoteRef/>
      </w:r>
      <w:r w:rsidRPr="00BD2C73">
        <w:rPr>
          <w:rFonts w:ascii="Abadi" w:hAnsi="Abadi"/>
          <w:sz w:val="16"/>
          <w:szCs w:val="16"/>
        </w:rPr>
        <w:t xml:space="preserve"> </w:t>
      </w:r>
      <w:r w:rsidRPr="00BD2C73">
        <w:rPr>
          <w:rFonts w:ascii="Abadi" w:hAnsi="Abadi"/>
          <w:sz w:val="16"/>
          <w:szCs w:val="16"/>
          <w:lang w:val="es-ES"/>
        </w:rPr>
        <w:t>Ibidem</w:t>
      </w:r>
    </w:p>
  </w:footnote>
  <w:footnote w:id="18">
    <w:p w14:paraId="688B34DA" w14:textId="5C03D225" w:rsidR="00E42D7A" w:rsidRPr="00BD2C73" w:rsidRDefault="00E42D7A" w:rsidP="00755338">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sz w:val="16"/>
          <w:szCs w:val="16"/>
          <w:lang w:val="es-ES"/>
        </w:rPr>
        <w:t>Ibidem</w:t>
      </w:r>
    </w:p>
  </w:footnote>
  <w:footnote w:id="19">
    <w:p w14:paraId="32348D34" w14:textId="74673EA2" w:rsidR="00DB3431" w:rsidRPr="00BD2C73" w:rsidRDefault="00DB3431" w:rsidP="00755338">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sz w:val="16"/>
          <w:szCs w:val="16"/>
          <w:lang w:val="es-ES"/>
        </w:rPr>
        <w:t>Ibidem</w:t>
      </w:r>
    </w:p>
  </w:footnote>
  <w:footnote w:id="20">
    <w:p w14:paraId="449C1A60" w14:textId="76AA2F2F" w:rsidR="009E23E1" w:rsidRPr="00755338" w:rsidRDefault="009E23E1" w:rsidP="00755338">
      <w:pPr>
        <w:pStyle w:val="Textonotapie"/>
        <w:jc w:val="both"/>
        <w:rPr>
          <w:rFonts w:ascii="Abadi" w:hAnsi="Abadi"/>
          <w:lang w:val="es-ES"/>
        </w:rPr>
      </w:pPr>
      <w:r w:rsidRPr="00BD2C73">
        <w:rPr>
          <w:rStyle w:val="Refdenotaalpie"/>
          <w:rFonts w:ascii="Abadi" w:hAnsi="Abadi"/>
          <w:sz w:val="16"/>
          <w:szCs w:val="16"/>
        </w:rPr>
        <w:footnoteRef/>
      </w:r>
      <w:r w:rsidRPr="00BD2C73">
        <w:rPr>
          <w:rFonts w:ascii="Abadi" w:hAnsi="Abadi"/>
          <w:sz w:val="16"/>
          <w:szCs w:val="16"/>
        </w:rPr>
        <w:t xml:space="preserve"> </w:t>
      </w:r>
      <w:r w:rsidR="00617EB6" w:rsidRPr="00BD2C73">
        <w:rPr>
          <w:rFonts w:ascii="Abadi" w:hAnsi="Abadi"/>
          <w:sz w:val="16"/>
          <w:szCs w:val="16"/>
          <w:lang w:val="es-ES"/>
        </w:rPr>
        <w:t>Para obtener</w:t>
      </w:r>
      <w:r w:rsidRPr="00BD2C73">
        <w:rPr>
          <w:rFonts w:ascii="Abadi" w:hAnsi="Abadi"/>
          <w:sz w:val="16"/>
          <w:szCs w:val="16"/>
          <w:lang w:val="es-ES"/>
        </w:rPr>
        <w:t xml:space="preserve"> un completo panorama de las cuestiones </w:t>
      </w:r>
      <w:r w:rsidR="006747C7" w:rsidRPr="00BD2C73">
        <w:rPr>
          <w:rFonts w:ascii="Abadi" w:hAnsi="Abadi"/>
          <w:sz w:val="16"/>
          <w:szCs w:val="16"/>
          <w:lang w:val="es-ES"/>
        </w:rPr>
        <w:t xml:space="preserve">esenciales </w:t>
      </w:r>
      <w:r w:rsidRPr="00BD2C73">
        <w:rPr>
          <w:rFonts w:ascii="Abadi" w:hAnsi="Abadi"/>
          <w:sz w:val="16"/>
          <w:szCs w:val="16"/>
          <w:lang w:val="es-ES"/>
        </w:rPr>
        <w:t xml:space="preserve">que la jurisprudencia de la Corte Suprema </w:t>
      </w:r>
      <w:r w:rsidR="006747C7" w:rsidRPr="00BD2C73">
        <w:rPr>
          <w:rFonts w:ascii="Abadi" w:hAnsi="Abadi"/>
          <w:sz w:val="16"/>
          <w:szCs w:val="16"/>
          <w:lang w:val="es-ES"/>
        </w:rPr>
        <w:t xml:space="preserve">ha desarrollado acerca de la </w:t>
      </w:r>
      <w:r w:rsidRPr="00BD2C73">
        <w:rPr>
          <w:rFonts w:ascii="Abadi" w:hAnsi="Abadi"/>
          <w:sz w:val="16"/>
          <w:szCs w:val="16"/>
          <w:lang w:val="es-ES"/>
        </w:rPr>
        <w:t xml:space="preserve">Responsabilidad de la Administración </w:t>
      </w:r>
      <w:r w:rsidR="00617EB6" w:rsidRPr="00BD2C73">
        <w:rPr>
          <w:rFonts w:ascii="Abadi" w:hAnsi="Abadi"/>
          <w:sz w:val="16"/>
          <w:szCs w:val="16"/>
          <w:lang w:val="es-ES"/>
        </w:rPr>
        <w:t>Pública ver</w:t>
      </w:r>
      <w:r w:rsidR="00EC536B" w:rsidRPr="00BD2C73">
        <w:rPr>
          <w:rFonts w:ascii="Abadi" w:hAnsi="Abadi"/>
          <w:sz w:val="16"/>
          <w:szCs w:val="16"/>
          <w:lang w:val="es-ES"/>
        </w:rPr>
        <w:t xml:space="preserve">: </w:t>
      </w:r>
      <w:r w:rsidR="00755338" w:rsidRPr="00BD2C73">
        <w:rPr>
          <w:rFonts w:ascii="Abadi" w:hAnsi="Abadi"/>
          <w:sz w:val="16"/>
          <w:szCs w:val="16"/>
          <w:lang w:val="es-ES"/>
        </w:rPr>
        <w:t>“</w:t>
      </w:r>
      <w:r w:rsidR="0049675D" w:rsidRPr="00BD2C73">
        <w:rPr>
          <w:rFonts w:ascii="Abadi" w:hAnsi="Abadi"/>
          <w:sz w:val="16"/>
          <w:szCs w:val="16"/>
          <w:lang w:val="es-ES"/>
        </w:rPr>
        <w:t>Responsabilidad del Estado por falta de servicio. Colecciones Jurídicas de la Corte Suprema</w:t>
      </w:r>
      <w:r w:rsidR="00755338" w:rsidRPr="00BD2C73">
        <w:rPr>
          <w:rFonts w:ascii="Abadi" w:hAnsi="Abadi"/>
          <w:sz w:val="16"/>
          <w:szCs w:val="16"/>
          <w:lang w:val="es-ES"/>
        </w:rPr>
        <w:t>”</w:t>
      </w:r>
      <w:r w:rsidR="0049675D" w:rsidRPr="00BD2C73">
        <w:rPr>
          <w:rFonts w:ascii="Abadi" w:hAnsi="Abadi"/>
          <w:sz w:val="16"/>
          <w:szCs w:val="16"/>
          <w:lang w:val="es-ES"/>
        </w:rPr>
        <w:t>. Dirección de Estudios</w:t>
      </w:r>
      <w:r w:rsidR="005F431B" w:rsidRPr="00BD2C73">
        <w:rPr>
          <w:rFonts w:ascii="Abadi" w:hAnsi="Abadi"/>
          <w:sz w:val="16"/>
          <w:szCs w:val="16"/>
          <w:lang w:val="es-ES"/>
        </w:rPr>
        <w:t>.</w:t>
      </w:r>
      <w:r w:rsidR="005F431B" w:rsidRPr="00BD2C73">
        <w:rPr>
          <w:rFonts w:ascii="Abadi" w:hAnsi="Abadi"/>
          <w:sz w:val="16"/>
          <w:szCs w:val="16"/>
        </w:rPr>
        <w:t xml:space="preserve"> </w:t>
      </w:r>
      <w:r w:rsidR="005F431B" w:rsidRPr="00BD2C73">
        <w:rPr>
          <w:rFonts w:ascii="Abadi" w:hAnsi="Abadi"/>
          <w:sz w:val="16"/>
          <w:szCs w:val="16"/>
          <w:lang w:val="es-ES"/>
        </w:rPr>
        <w:t>IDECS: 1496. N° Informe: 154-2018. Fecha: 26-12-2018</w:t>
      </w:r>
    </w:p>
  </w:footnote>
  <w:footnote w:id="21">
    <w:p w14:paraId="7C9AEF6F" w14:textId="3F8FA036" w:rsidR="00D90050" w:rsidRPr="00BD2C73" w:rsidRDefault="00D90050" w:rsidP="00755338">
      <w:pPr>
        <w:pStyle w:val="Textonotapie"/>
        <w:jc w:val="both"/>
        <w:rPr>
          <w:rFonts w:ascii="Abadi" w:hAnsi="Abadi"/>
          <w:sz w:val="16"/>
          <w:szCs w:val="16"/>
          <w:lang w:val="es-ES"/>
        </w:rPr>
      </w:pPr>
      <w:r w:rsidRPr="00B4552E">
        <w:rPr>
          <w:rStyle w:val="Refdenotaalpie"/>
          <w:rFonts w:ascii="Abadi" w:hAnsi="Abadi"/>
        </w:rPr>
        <w:footnoteRef/>
      </w:r>
      <w:r w:rsidRPr="00B4552E">
        <w:rPr>
          <w:rFonts w:ascii="Abadi" w:hAnsi="Abadi"/>
        </w:rPr>
        <w:t xml:space="preserve"> </w:t>
      </w:r>
      <w:r w:rsidRPr="00BD2C73">
        <w:rPr>
          <w:rFonts w:ascii="Abadi" w:hAnsi="Abadi"/>
          <w:sz w:val="16"/>
          <w:szCs w:val="16"/>
          <w:lang w:val="es-ES"/>
        </w:rPr>
        <w:t>Bermúdez, op.cit</w:t>
      </w:r>
    </w:p>
  </w:footnote>
  <w:footnote w:id="22">
    <w:p w14:paraId="16A67061" w14:textId="119D594B" w:rsidR="003A4B87" w:rsidRPr="00BD2C73" w:rsidRDefault="003A4B87" w:rsidP="003A4B87">
      <w:pPr>
        <w:pStyle w:val="Textonotapie"/>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0054225E" w:rsidRPr="00BD2C73">
        <w:rPr>
          <w:rFonts w:ascii="Abadi" w:hAnsi="Abadi"/>
          <w:sz w:val="16"/>
          <w:szCs w:val="16"/>
        </w:rPr>
        <w:t>Ferrada, op.</w:t>
      </w:r>
      <w:r w:rsidR="00617EB6">
        <w:rPr>
          <w:rFonts w:ascii="Abadi" w:hAnsi="Abadi"/>
          <w:sz w:val="16"/>
          <w:szCs w:val="16"/>
        </w:rPr>
        <w:t xml:space="preserve"> </w:t>
      </w:r>
      <w:proofErr w:type="gramStart"/>
      <w:r w:rsidR="0054225E" w:rsidRPr="00BD2C73">
        <w:rPr>
          <w:rFonts w:ascii="Abadi" w:hAnsi="Abadi"/>
          <w:sz w:val="16"/>
          <w:szCs w:val="16"/>
        </w:rPr>
        <w:t xml:space="preserve">cit,  </w:t>
      </w:r>
      <w:r w:rsidRPr="00BD2C73">
        <w:rPr>
          <w:rFonts w:ascii="Abadi" w:hAnsi="Abadi"/>
          <w:sz w:val="16"/>
          <w:szCs w:val="16"/>
          <w:lang w:val="es-ES"/>
        </w:rPr>
        <w:t>Pág.</w:t>
      </w:r>
      <w:proofErr w:type="gramEnd"/>
      <w:r w:rsidRPr="00BD2C73">
        <w:rPr>
          <w:rFonts w:ascii="Abadi" w:hAnsi="Abadi"/>
          <w:sz w:val="16"/>
          <w:szCs w:val="16"/>
          <w:lang w:val="es-ES"/>
        </w:rPr>
        <w:t>392</w:t>
      </w:r>
    </w:p>
  </w:footnote>
  <w:footnote w:id="23">
    <w:p w14:paraId="0E9434A7" w14:textId="57EC90C0" w:rsidR="00D90050" w:rsidRPr="00BD2C73" w:rsidRDefault="00D90050" w:rsidP="00D90050">
      <w:pPr>
        <w:pStyle w:val="Textonotapie"/>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sz w:val="16"/>
          <w:szCs w:val="16"/>
          <w:lang w:val="es-ES"/>
        </w:rPr>
        <w:t xml:space="preserve"> Bermúdez, op.cit</w:t>
      </w:r>
    </w:p>
  </w:footnote>
  <w:footnote w:id="24">
    <w:p w14:paraId="59B79163" w14:textId="6B34D9A7" w:rsidR="00D90050" w:rsidRPr="00BD2C73" w:rsidRDefault="00D90050">
      <w:pPr>
        <w:pStyle w:val="Textonotapie"/>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003E5F80" w:rsidRPr="00BD2C73">
        <w:rPr>
          <w:rFonts w:ascii="Abadi" w:hAnsi="Abadi"/>
          <w:sz w:val="16"/>
          <w:szCs w:val="16"/>
        </w:rPr>
        <w:t>Ibidem</w:t>
      </w:r>
    </w:p>
  </w:footnote>
  <w:footnote w:id="25">
    <w:p w14:paraId="1BC54F91" w14:textId="4C54C176" w:rsidR="00B508AC" w:rsidRPr="00BD2C73" w:rsidRDefault="00B508AC" w:rsidP="00B508AC">
      <w:pPr>
        <w:pStyle w:val="Textonotapie"/>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Ferrada, </w:t>
      </w:r>
      <w:r w:rsidR="00617EB6" w:rsidRPr="00BD2C73">
        <w:rPr>
          <w:rFonts w:ascii="Abadi" w:hAnsi="Abadi"/>
          <w:sz w:val="16"/>
          <w:szCs w:val="16"/>
        </w:rPr>
        <w:t>op.</w:t>
      </w:r>
      <w:r w:rsidR="00617EB6">
        <w:rPr>
          <w:rFonts w:ascii="Abadi" w:hAnsi="Abadi"/>
          <w:sz w:val="16"/>
          <w:szCs w:val="16"/>
        </w:rPr>
        <w:t xml:space="preserve"> </w:t>
      </w:r>
      <w:r w:rsidR="00617EB6" w:rsidRPr="00BD2C73">
        <w:rPr>
          <w:rFonts w:ascii="Abadi" w:hAnsi="Abadi"/>
          <w:sz w:val="16"/>
          <w:szCs w:val="16"/>
        </w:rPr>
        <w:t>cit, Pág.</w:t>
      </w:r>
      <w:r w:rsidRPr="00BD2C73">
        <w:rPr>
          <w:rFonts w:ascii="Abadi" w:hAnsi="Abadi"/>
          <w:sz w:val="16"/>
          <w:szCs w:val="16"/>
          <w:lang w:val="es-ES"/>
        </w:rPr>
        <w:t>392</w:t>
      </w:r>
    </w:p>
  </w:footnote>
  <w:footnote w:id="26">
    <w:p w14:paraId="385933DF" w14:textId="2C8DB132" w:rsidR="00B508AC" w:rsidRPr="00F41D1D" w:rsidRDefault="00B508AC">
      <w:pPr>
        <w:pStyle w:val="Textonotapie"/>
        <w:rPr>
          <w:sz w:val="18"/>
          <w:szCs w:val="18"/>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sz w:val="16"/>
          <w:szCs w:val="16"/>
          <w:lang w:val="es-ES"/>
        </w:rPr>
        <w:t>Ibidem</w:t>
      </w:r>
    </w:p>
  </w:footnote>
  <w:footnote w:id="27">
    <w:p w14:paraId="492DEB19" w14:textId="695E1D7C" w:rsidR="00CD33EB" w:rsidRPr="00BD2C73" w:rsidRDefault="00CD33EB" w:rsidP="00CD33EB">
      <w:pPr>
        <w:pStyle w:val="Textonotapie"/>
        <w:rPr>
          <w:rFonts w:ascii="Abadi" w:hAnsi="Abadi"/>
          <w:sz w:val="16"/>
          <w:szCs w:val="16"/>
          <w:lang w:val="es-ES"/>
        </w:rPr>
      </w:pPr>
      <w:r w:rsidRPr="00F41D1D">
        <w:rPr>
          <w:rStyle w:val="Refdenotaalpie"/>
          <w:sz w:val="18"/>
          <w:szCs w:val="18"/>
        </w:rPr>
        <w:footnoteRef/>
      </w:r>
      <w:r w:rsidR="00BD2C73">
        <w:rPr>
          <w:sz w:val="18"/>
          <w:szCs w:val="18"/>
        </w:rPr>
        <w:t xml:space="preserve"> </w:t>
      </w:r>
      <w:r w:rsidR="00617EB6" w:rsidRPr="00BD2C73">
        <w:rPr>
          <w:rFonts w:ascii="Abadi" w:hAnsi="Abadi"/>
          <w:sz w:val="16"/>
          <w:szCs w:val="16"/>
        </w:rPr>
        <w:t>Ibidem</w:t>
      </w:r>
      <w:r w:rsidRPr="00BD2C73">
        <w:rPr>
          <w:rFonts w:ascii="Abadi" w:hAnsi="Abadi"/>
          <w:sz w:val="16"/>
          <w:szCs w:val="16"/>
        </w:rPr>
        <w:t>. CONSIDERANDO SÉPTIMO</w:t>
      </w:r>
    </w:p>
  </w:footnote>
  <w:footnote w:id="28">
    <w:p w14:paraId="01A10989" w14:textId="77777777" w:rsidR="00CD33EB" w:rsidRPr="00BD2C73" w:rsidRDefault="00CD33EB" w:rsidP="00CD33EB">
      <w:pPr>
        <w:pStyle w:val="Textonotapie"/>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CORTE SUPREMA. ROL 44.383/2017, 4 OCTUBRE 2018. CONSIDERANDO NOVENO</w:t>
      </w:r>
    </w:p>
  </w:footnote>
  <w:footnote w:id="29">
    <w:p w14:paraId="19F78305" w14:textId="77777777" w:rsidR="00CD33EB" w:rsidRPr="00BD2C73" w:rsidRDefault="00CD33EB" w:rsidP="00CD33EB">
      <w:pPr>
        <w:pStyle w:val="Textonotapie"/>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CORTE SUPREMA. ROL 34.225/2017, 29 JUNIO 2018. CONSIDERANDO DÉCIMO </w:t>
      </w:r>
    </w:p>
  </w:footnote>
  <w:footnote w:id="30">
    <w:p w14:paraId="476A1DC6" w14:textId="7D82BFDC" w:rsidR="00CD33EB" w:rsidRPr="00BD2C73" w:rsidRDefault="00CD33EB" w:rsidP="00CD33EB">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00617EB6" w:rsidRPr="00BD2C73">
        <w:rPr>
          <w:rFonts w:ascii="Abadi" w:hAnsi="Abadi"/>
          <w:sz w:val="16"/>
          <w:szCs w:val="16"/>
        </w:rPr>
        <w:t>Ibidem</w:t>
      </w:r>
      <w:r w:rsidRPr="00BD2C73">
        <w:rPr>
          <w:rFonts w:ascii="Abadi" w:hAnsi="Abadi"/>
          <w:sz w:val="16"/>
          <w:szCs w:val="16"/>
        </w:rPr>
        <w:t>. También en: Corte Suprema. Rol 35.582/2017, 26 noviembre 2018. Voto Disidente Abogado Integrante Sr. Quintanilla, Numeral 1</w:t>
      </w:r>
    </w:p>
  </w:footnote>
  <w:footnote w:id="31">
    <w:p w14:paraId="57E1C871" w14:textId="554064D8" w:rsidR="00CD33EB" w:rsidRPr="00BD2C73" w:rsidRDefault="00CD33EB" w:rsidP="00671903">
      <w:pPr>
        <w:shd w:val="clear" w:color="auto" w:fill="FFFFFF"/>
        <w:spacing w:after="0" w:line="240" w:lineRule="auto"/>
        <w:jc w:val="both"/>
        <w:rPr>
          <w:rFonts w:ascii="Abadi" w:hAnsi="Abadi"/>
          <w:sz w:val="16"/>
          <w:szCs w:val="16"/>
        </w:rPr>
      </w:pPr>
      <w:r w:rsidRPr="00BD2C73">
        <w:rPr>
          <w:rStyle w:val="Refdenotaalpie"/>
          <w:rFonts w:ascii="Abadi" w:hAnsi="Abadi"/>
          <w:sz w:val="16"/>
          <w:szCs w:val="16"/>
        </w:rPr>
        <w:footnoteRef/>
      </w:r>
      <w:r w:rsidRPr="00BD2C73">
        <w:rPr>
          <w:rFonts w:ascii="Abadi" w:hAnsi="Abadi"/>
          <w:sz w:val="16"/>
          <w:szCs w:val="16"/>
        </w:rPr>
        <w:t xml:space="preserve"> CORTE SUPREMA. ROL 12.221/2017, 19 ABRIL 2018. VOTO DISIDENTE MINISTRO SR. MUÑOZ, NUMERAL 5</w:t>
      </w:r>
    </w:p>
  </w:footnote>
  <w:footnote w:id="32">
    <w:p w14:paraId="1B1647EA" w14:textId="77777777" w:rsidR="00C3307B" w:rsidRPr="00F41D1D" w:rsidRDefault="00C3307B" w:rsidP="00C3307B">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CORTE SUPREMA. ROL 39.484/2017, 2 OCTUBRE 2018. SENTENCIA DE REEMPLAZO, CONSIDERANDO SEGUNDO.</w:t>
      </w:r>
    </w:p>
  </w:footnote>
  <w:footnote w:id="33">
    <w:p w14:paraId="40D18DC3" w14:textId="77777777" w:rsidR="00C3307B" w:rsidRPr="0081379A" w:rsidRDefault="00C3307B" w:rsidP="00C3307B">
      <w:pPr>
        <w:shd w:val="clear" w:color="auto" w:fill="FFFFFF"/>
        <w:spacing w:after="0" w:line="240" w:lineRule="auto"/>
        <w:jc w:val="both"/>
        <w:rPr>
          <w:rFonts w:ascii="Abadi" w:hAnsi="Abadi"/>
          <w:sz w:val="18"/>
          <w:szCs w:val="18"/>
        </w:rPr>
      </w:pPr>
      <w:r w:rsidRPr="00F41D1D">
        <w:rPr>
          <w:rStyle w:val="Refdenotaalpie"/>
          <w:rFonts w:ascii="Abadi" w:hAnsi="Abadi"/>
          <w:sz w:val="16"/>
          <w:szCs w:val="16"/>
        </w:rPr>
        <w:footnoteRef/>
      </w:r>
      <w:r w:rsidRPr="00F41D1D">
        <w:rPr>
          <w:rFonts w:ascii="Abadi" w:hAnsi="Abadi"/>
          <w:sz w:val="16"/>
          <w:szCs w:val="16"/>
        </w:rPr>
        <w:t xml:space="preserve"> CORTE SUPREMA. ROL 39.484/2017, 2 OCTUBRE 2018. SENTENCIA DE REEMPLAZO, CONSIDERANDO SEGUNDO CORTE SUPREMA. ROL 41.971/2017, 22 MAYO 2018. CONSIDERANDO SÉPTIMO CORTE SUPREMA. ROL 45.106/2017, 25 SEPTIEMBRE 2018. CONSIDERANDO SEXTO </w:t>
      </w:r>
    </w:p>
  </w:footnote>
  <w:footnote w:id="34">
    <w:p w14:paraId="42383CB2" w14:textId="77777777" w:rsidR="00C3307B" w:rsidRPr="00F41D1D" w:rsidRDefault="00C3307B" w:rsidP="00C3307B">
      <w:pPr>
        <w:pStyle w:val="Textonotapie"/>
        <w:rPr>
          <w:rFonts w:ascii="Abadi" w:hAnsi="Abadi"/>
          <w:sz w:val="16"/>
          <w:szCs w:val="16"/>
          <w:lang w:val="es-ES"/>
        </w:rPr>
      </w:pPr>
      <w:r w:rsidRPr="0081379A">
        <w:rPr>
          <w:rStyle w:val="Refdenotaalpie"/>
          <w:rFonts w:ascii="Abadi" w:hAnsi="Abadi"/>
        </w:rPr>
        <w:footnoteRef/>
      </w:r>
      <w:r w:rsidRPr="0081379A">
        <w:rPr>
          <w:rFonts w:ascii="Abadi" w:hAnsi="Abadi"/>
        </w:rPr>
        <w:t xml:space="preserve"> </w:t>
      </w:r>
      <w:r w:rsidRPr="00F41D1D">
        <w:rPr>
          <w:rFonts w:ascii="Abadi" w:hAnsi="Abadi"/>
          <w:sz w:val="16"/>
          <w:szCs w:val="16"/>
        </w:rPr>
        <w:t>CORTE SUPREMA. ROL 39.484/2017, 2 OCTUBRE 2018. SENTENCIA DE REEMPLAZO, PREVENCIÓN MINISTRO SR. MUÑOZ, NUMERAL 6°</w:t>
      </w:r>
    </w:p>
  </w:footnote>
  <w:footnote w:id="35">
    <w:p w14:paraId="027D3DC1" w14:textId="77777777" w:rsidR="00C3307B" w:rsidRPr="00F41D1D" w:rsidRDefault="00C3307B" w:rsidP="00C3307B">
      <w:pPr>
        <w:pStyle w:val="Textonotapie"/>
        <w:jc w:val="both"/>
        <w:rPr>
          <w:rFonts w:ascii="Abadi" w:hAnsi="Abadi"/>
          <w:sz w:val="16"/>
          <w:szCs w:val="16"/>
          <w:lang w:val="es-ES"/>
        </w:rPr>
      </w:pPr>
      <w:r w:rsidRPr="00F41D1D">
        <w:rPr>
          <w:rStyle w:val="Refdenotaalpie"/>
          <w:rFonts w:ascii="Abadi" w:hAnsi="Abadi"/>
          <w:sz w:val="18"/>
          <w:szCs w:val="18"/>
        </w:rPr>
        <w:footnoteRef/>
      </w:r>
      <w:r w:rsidRPr="00F41D1D">
        <w:rPr>
          <w:rFonts w:ascii="Abadi" w:hAnsi="Abadi"/>
          <w:sz w:val="18"/>
          <w:szCs w:val="18"/>
        </w:rPr>
        <w:t xml:space="preserve"> </w:t>
      </w:r>
      <w:r w:rsidRPr="00F41D1D">
        <w:rPr>
          <w:rFonts w:ascii="Abadi" w:hAnsi="Abadi"/>
          <w:sz w:val="16"/>
          <w:szCs w:val="16"/>
        </w:rPr>
        <w:t>CORTE SUPREMA. ROL 12.221/2017, 19 ABRIL 2018. VOTO DISIDENTE MINISTRO SR. MUÑOZ, NUMERAL 3 CORTE SUPREMA. ROL 39.484/2017, 2 OCTUBRE 2018. VOTO DISIDENTE MINISTRO SR. MUÑOZ, NUMERALES 1° Y 2°</w:t>
      </w:r>
    </w:p>
  </w:footnote>
  <w:footnote w:id="36">
    <w:p w14:paraId="19B6B45C" w14:textId="77777777" w:rsidR="00C3307B" w:rsidRPr="00305A90" w:rsidRDefault="00C3307B" w:rsidP="00C3307B">
      <w:pPr>
        <w:pStyle w:val="Textonotapie"/>
        <w:jc w:val="both"/>
        <w:rPr>
          <w:lang w:val="es-ES"/>
        </w:rPr>
      </w:pPr>
      <w:r w:rsidRPr="00F41D1D">
        <w:rPr>
          <w:rStyle w:val="Refdenotaalpie"/>
          <w:sz w:val="18"/>
          <w:szCs w:val="18"/>
        </w:rPr>
        <w:footnoteRef/>
      </w:r>
      <w:r w:rsidRPr="00F41D1D">
        <w:rPr>
          <w:sz w:val="18"/>
          <w:szCs w:val="18"/>
        </w:rPr>
        <w:t xml:space="preserve"> </w:t>
      </w:r>
      <w:r w:rsidRPr="00F41D1D">
        <w:rPr>
          <w:rFonts w:ascii="Abadi" w:hAnsi="Abadi"/>
          <w:sz w:val="16"/>
          <w:szCs w:val="16"/>
        </w:rPr>
        <w:t>CORTE SUPREMA. ROL 12.221/2017, 19 ABRIL 2018. VOTO DISIDENTE MINISTRO SR. MUÑOZ, NUMERAL 5</w:t>
      </w:r>
    </w:p>
  </w:footnote>
  <w:footnote w:id="37">
    <w:p w14:paraId="1131FD73" w14:textId="42DAD446" w:rsidR="00C3307B" w:rsidRDefault="00C3307B" w:rsidP="00C3307B">
      <w:pPr>
        <w:pStyle w:val="Textonotapie"/>
        <w:jc w:val="both"/>
        <w:rPr>
          <w:lang w:val="es-ES"/>
        </w:rPr>
      </w:pPr>
      <w:r>
        <w:rPr>
          <w:rStyle w:val="Refdenotaalpie"/>
        </w:rPr>
        <w:footnoteRef/>
      </w:r>
      <w:r>
        <w:t xml:space="preserve"> </w:t>
      </w:r>
      <w:r w:rsidRPr="00F41D1D">
        <w:rPr>
          <w:rFonts w:ascii="Abadi" w:hAnsi="Abadi"/>
          <w:sz w:val="16"/>
          <w:szCs w:val="16"/>
          <w:lang w:val="es-ES"/>
        </w:rPr>
        <w:t>CORTE SUPREMA</w:t>
      </w:r>
      <w:r>
        <w:t xml:space="preserve">. </w:t>
      </w:r>
      <w:r>
        <w:rPr>
          <w:rFonts w:ascii="Abadi" w:hAnsi="Abadi"/>
          <w:sz w:val="18"/>
          <w:szCs w:val="18"/>
        </w:rPr>
        <w:t>Causa Rol 82-</w:t>
      </w:r>
      <w:r w:rsidR="00617EB6">
        <w:rPr>
          <w:rFonts w:ascii="Abadi" w:hAnsi="Abadi"/>
          <w:sz w:val="18"/>
          <w:szCs w:val="18"/>
        </w:rPr>
        <w:t>2021</w:t>
      </w:r>
      <w:r w:rsidR="00617EB6">
        <w:rPr>
          <w:rFonts w:ascii="Abadi" w:hAnsi="Abadi"/>
          <w:sz w:val="18"/>
          <w:szCs w:val="18"/>
          <w:lang w:val="es-ES"/>
        </w:rPr>
        <w:t>. “</w:t>
      </w:r>
      <w:r>
        <w:rPr>
          <w:rFonts w:ascii="Abadi" w:hAnsi="Abadi"/>
          <w:sz w:val="18"/>
          <w:szCs w:val="18"/>
          <w:lang w:val="es-ES"/>
        </w:rPr>
        <w:t xml:space="preserve">Luchsinger Mackay con Fisco de Chile”, </w:t>
      </w:r>
      <w:r w:rsidRPr="00F41D1D">
        <w:rPr>
          <w:rFonts w:ascii="Abadi" w:hAnsi="Abadi"/>
          <w:sz w:val="16"/>
          <w:szCs w:val="16"/>
        </w:rPr>
        <w:t xml:space="preserve">SENTENCIA DE REEMPLAZO, CONSIDERANDO </w:t>
      </w:r>
      <w:r w:rsidRPr="00F41D1D">
        <w:rPr>
          <w:rFonts w:ascii="Abadi" w:hAnsi="Abadi"/>
          <w:sz w:val="16"/>
          <w:szCs w:val="16"/>
          <w:lang w:val="es-ES"/>
        </w:rPr>
        <w:t xml:space="preserve">15 </w:t>
      </w:r>
    </w:p>
  </w:footnote>
  <w:footnote w:id="38">
    <w:p w14:paraId="45D4EEF5" w14:textId="7F1DC0E7" w:rsidR="00C3307B" w:rsidRPr="00BD2C73" w:rsidRDefault="00C3307B" w:rsidP="00C3307B">
      <w:pPr>
        <w:pStyle w:val="Textonotapie"/>
        <w:jc w:val="both"/>
        <w:rPr>
          <w:rFonts w:ascii="Abadi" w:hAnsi="Abadi"/>
          <w:sz w:val="16"/>
          <w:szCs w:val="16"/>
          <w:lang w:val="es-ES"/>
        </w:rPr>
      </w:pPr>
      <w:r w:rsidRPr="00741DF3">
        <w:rPr>
          <w:rStyle w:val="Refdenotaalpie"/>
          <w:rFonts w:ascii="Abadi" w:hAnsi="Abadi"/>
          <w:sz w:val="18"/>
          <w:szCs w:val="18"/>
        </w:rPr>
        <w:footnoteRef/>
      </w:r>
      <w:r w:rsidRPr="00741DF3">
        <w:rPr>
          <w:rFonts w:ascii="Abadi" w:hAnsi="Abadi"/>
          <w:sz w:val="18"/>
          <w:szCs w:val="18"/>
        </w:rPr>
        <w:t xml:space="preserve"> </w:t>
      </w:r>
      <w:r w:rsidRPr="00BD2C73">
        <w:rPr>
          <w:rFonts w:ascii="Abadi" w:hAnsi="Abadi"/>
          <w:sz w:val="16"/>
          <w:szCs w:val="16"/>
          <w:lang w:val="es-ES"/>
        </w:rPr>
        <w:t>CORTE SUPREMA</w:t>
      </w:r>
      <w:r w:rsidRPr="00BD2C73">
        <w:rPr>
          <w:rFonts w:ascii="Abadi" w:hAnsi="Abadi"/>
          <w:sz w:val="16"/>
          <w:szCs w:val="16"/>
        </w:rPr>
        <w:t>. Causa Rol 82-</w:t>
      </w:r>
      <w:r w:rsidR="00617EB6" w:rsidRPr="00BD2C73">
        <w:rPr>
          <w:rFonts w:ascii="Abadi" w:hAnsi="Abadi"/>
          <w:sz w:val="16"/>
          <w:szCs w:val="16"/>
        </w:rPr>
        <w:t>2021</w:t>
      </w:r>
      <w:r w:rsidR="00617EB6" w:rsidRPr="00BD2C73">
        <w:rPr>
          <w:rFonts w:ascii="Abadi" w:hAnsi="Abadi"/>
          <w:sz w:val="16"/>
          <w:szCs w:val="16"/>
          <w:lang w:val="es-ES"/>
        </w:rPr>
        <w:t>. “</w:t>
      </w:r>
      <w:r w:rsidRPr="00BD2C73">
        <w:rPr>
          <w:rFonts w:ascii="Abadi" w:hAnsi="Abadi"/>
          <w:sz w:val="16"/>
          <w:szCs w:val="16"/>
          <w:lang w:val="es-ES"/>
        </w:rPr>
        <w:t xml:space="preserve">Luchsinger Mackay con Fisco de Chile”, </w:t>
      </w:r>
      <w:r w:rsidRPr="00BD2C73">
        <w:rPr>
          <w:rFonts w:ascii="Abadi" w:hAnsi="Abadi"/>
          <w:sz w:val="16"/>
          <w:szCs w:val="16"/>
        </w:rPr>
        <w:t xml:space="preserve">SENTENCIA DE REEMPLAZO, </w:t>
      </w:r>
      <w:r w:rsidRPr="00BD2C73">
        <w:rPr>
          <w:rFonts w:ascii="Abadi" w:hAnsi="Abadi"/>
          <w:sz w:val="16"/>
          <w:szCs w:val="16"/>
          <w:lang w:val="es-ES"/>
        </w:rPr>
        <w:t xml:space="preserve">CONSIDERANDO </w:t>
      </w:r>
      <w:r w:rsidR="00617EB6" w:rsidRPr="00BD2C73">
        <w:rPr>
          <w:rFonts w:ascii="Abadi" w:hAnsi="Abadi"/>
          <w:sz w:val="16"/>
          <w:szCs w:val="16"/>
        </w:rPr>
        <w:t>DÉCIMO QUINTO</w:t>
      </w:r>
      <w:r w:rsidRPr="00BD2C73">
        <w:rPr>
          <w:rFonts w:ascii="Abadi" w:hAnsi="Abadi"/>
          <w:sz w:val="16"/>
          <w:szCs w:val="16"/>
        </w:rPr>
        <w:t>.</w:t>
      </w:r>
    </w:p>
  </w:footnote>
  <w:footnote w:id="39">
    <w:p w14:paraId="14E0001A" w14:textId="77777777" w:rsidR="00C3307B" w:rsidRPr="00BD2C73" w:rsidRDefault="00C3307B" w:rsidP="00C3307B">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sz w:val="16"/>
          <w:szCs w:val="16"/>
          <w:lang w:val="es-ES"/>
        </w:rPr>
        <w:t xml:space="preserve">Ibidem. CONSIDERANDO </w:t>
      </w:r>
      <w:r w:rsidRPr="00BD2C73">
        <w:rPr>
          <w:rFonts w:ascii="Abadi" w:hAnsi="Abadi"/>
          <w:sz w:val="16"/>
          <w:szCs w:val="16"/>
        </w:rPr>
        <w:t>DÉCIMO SEXTO</w:t>
      </w:r>
    </w:p>
  </w:footnote>
  <w:footnote w:id="40">
    <w:p w14:paraId="7070A9C7" w14:textId="77777777" w:rsidR="00C3307B" w:rsidRPr="00BD2C73" w:rsidRDefault="00C3307B" w:rsidP="00C3307B">
      <w:pPr>
        <w:spacing w:after="0" w:line="240" w:lineRule="auto"/>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sz w:val="16"/>
          <w:szCs w:val="16"/>
          <w:lang w:val="es-ES"/>
        </w:rPr>
        <w:t xml:space="preserve">Ibidem. CONSIDERANDO </w:t>
      </w:r>
      <w:r w:rsidRPr="00BD2C73">
        <w:rPr>
          <w:rFonts w:ascii="Abadi" w:hAnsi="Abadi"/>
          <w:sz w:val="16"/>
          <w:szCs w:val="16"/>
        </w:rPr>
        <w:t>DÉCIMO SEXTO</w:t>
      </w:r>
      <w:r w:rsidRPr="00BD2C73">
        <w:rPr>
          <w:rFonts w:ascii="Abadi" w:hAnsi="Abadi"/>
          <w:sz w:val="16"/>
          <w:szCs w:val="16"/>
          <w:lang w:val="es-ES"/>
        </w:rPr>
        <w:t>. También CORTE SUPREMA</w:t>
      </w:r>
      <w:r w:rsidRPr="00BD2C73">
        <w:rPr>
          <w:rFonts w:ascii="Abadi" w:hAnsi="Abadi"/>
          <w:sz w:val="16"/>
          <w:szCs w:val="16"/>
        </w:rPr>
        <w:t>. Causas</w:t>
      </w:r>
      <w:r w:rsidRPr="00BD2C73">
        <w:rPr>
          <w:rFonts w:ascii="Abadi" w:hAnsi="Abadi"/>
          <w:sz w:val="16"/>
          <w:szCs w:val="16"/>
          <w:lang w:val="es-ES"/>
        </w:rPr>
        <w:t xml:space="preserve"> Roles N° 97.186-2020 y N° 39.686-2020.</w:t>
      </w:r>
    </w:p>
  </w:footnote>
  <w:footnote w:id="41">
    <w:p w14:paraId="2D2E2A4F" w14:textId="712EF3F7" w:rsidR="00C3307B" w:rsidRPr="00BD2C73" w:rsidRDefault="00C3307B" w:rsidP="00C3307B">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sz w:val="16"/>
          <w:szCs w:val="16"/>
          <w:lang w:val="es-ES"/>
        </w:rPr>
        <w:t>CORTE SUPREMA</w:t>
      </w:r>
      <w:r w:rsidRPr="00BD2C73">
        <w:rPr>
          <w:rFonts w:ascii="Abadi" w:hAnsi="Abadi"/>
          <w:sz w:val="16"/>
          <w:szCs w:val="16"/>
        </w:rPr>
        <w:t>. Causa Rol 82-</w:t>
      </w:r>
      <w:r w:rsidR="00617EB6" w:rsidRPr="00BD2C73">
        <w:rPr>
          <w:rFonts w:ascii="Abadi" w:hAnsi="Abadi"/>
          <w:sz w:val="16"/>
          <w:szCs w:val="16"/>
        </w:rPr>
        <w:t>2021</w:t>
      </w:r>
      <w:r w:rsidR="00617EB6" w:rsidRPr="00BD2C73">
        <w:rPr>
          <w:rFonts w:ascii="Abadi" w:hAnsi="Abadi"/>
          <w:sz w:val="16"/>
          <w:szCs w:val="16"/>
          <w:lang w:val="es-ES"/>
        </w:rPr>
        <w:t>. “</w:t>
      </w:r>
      <w:r w:rsidRPr="00BD2C73">
        <w:rPr>
          <w:rFonts w:ascii="Abadi" w:hAnsi="Abadi"/>
          <w:sz w:val="16"/>
          <w:szCs w:val="16"/>
          <w:lang w:val="es-ES"/>
        </w:rPr>
        <w:t xml:space="preserve">Luchsinger Mackay con Fisco de Chile”, </w:t>
      </w:r>
      <w:r w:rsidRPr="00BD2C73">
        <w:rPr>
          <w:rFonts w:ascii="Abadi" w:hAnsi="Abadi"/>
          <w:sz w:val="16"/>
          <w:szCs w:val="16"/>
        </w:rPr>
        <w:t xml:space="preserve">SENTENCIA DE REEMPLAZO, </w:t>
      </w:r>
      <w:r w:rsidRPr="00BD2C73">
        <w:rPr>
          <w:rFonts w:ascii="Abadi" w:hAnsi="Abadi"/>
          <w:sz w:val="16"/>
          <w:szCs w:val="16"/>
          <w:lang w:val="es-ES"/>
        </w:rPr>
        <w:t xml:space="preserve">CONSIDERANDO </w:t>
      </w:r>
      <w:r w:rsidRPr="00BD2C73">
        <w:rPr>
          <w:rFonts w:ascii="Abadi" w:hAnsi="Abadi"/>
          <w:sz w:val="16"/>
          <w:szCs w:val="16"/>
        </w:rPr>
        <w:t>DÉCIMO SÉPTIMO.</w:t>
      </w:r>
    </w:p>
  </w:footnote>
  <w:footnote w:id="42">
    <w:p w14:paraId="5F19EBA5" w14:textId="10D6C9A2" w:rsidR="00C3307B" w:rsidRPr="00BD2C73" w:rsidRDefault="00C3307B" w:rsidP="00C3307B">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sz w:val="16"/>
          <w:szCs w:val="16"/>
          <w:lang w:val="es-ES"/>
        </w:rPr>
        <w:t>CORTE SUPREMA</w:t>
      </w:r>
      <w:r w:rsidRPr="00BD2C73">
        <w:rPr>
          <w:rFonts w:ascii="Abadi" w:hAnsi="Abadi"/>
          <w:sz w:val="16"/>
          <w:szCs w:val="16"/>
        </w:rPr>
        <w:t>. Causa Rol 82-</w:t>
      </w:r>
      <w:r w:rsidR="00617EB6" w:rsidRPr="00BD2C73">
        <w:rPr>
          <w:rFonts w:ascii="Abadi" w:hAnsi="Abadi"/>
          <w:sz w:val="16"/>
          <w:szCs w:val="16"/>
        </w:rPr>
        <w:t>2021</w:t>
      </w:r>
      <w:r w:rsidR="00617EB6" w:rsidRPr="00BD2C73">
        <w:rPr>
          <w:rFonts w:ascii="Abadi" w:hAnsi="Abadi"/>
          <w:sz w:val="16"/>
          <w:szCs w:val="16"/>
          <w:lang w:val="es-ES"/>
        </w:rPr>
        <w:t>. “</w:t>
      </w:r>
      <w:r w:rsidRPr="00BD2C73">
        <w:rPr>
          <w:rFonts w:ascii="Abadi" w:hAnsi="Abadi"/>
          <w:sz w:val="16"/>
          <w:szCs w:val="16"/>
          <w:lang w:val="es-ES"/>
        </w:rPr>
        <w:t xml:space="preserve">Luchsinger Mackay con Fisco de Chile”, </w:t>
      </w:r>
      <w:r w:rsidRPr="00BD2C73">
        <w:rPr>
          <w:rFonts w:ascii="Abadi" w:hAnsi="Abadi"/>
          <w:sz w:val="16"/>
          <w:szCs w:val="16"/>
        </w:rPr>
        <w:t xml:space="preserve">SENTENCIA DE REEMPLAZO, </w:t>
      </w:r>
      <w:r w:rsidRPr="00BD2C73">
        <w:rPr>
          <w:rFonts w:ascii="Abadi" w:hAnsi="Abadi"/>
          <w:sz w:val="16"/>
          <w:szCs w:val="16"/>
          <w:lang w:val="es-ES"/>
        </w:rPr>
        <w:t xml:space="preserve">CONSIDERANDO </w:t>
      </w:r>
      <w:r w:rsidR="00617EB6" w:rsidRPr="00BD2C73">
        <w:rPr>
          <w:rFonts w:ascii="Abadi" w:hAnsi="Abadi"/>
          <w:sz w:val="16"/>
          <w:szCs w:val="16"/>
        </w:rPr>
        <w:t>DÉCIMO SÉPTIMO</w:t>
      </w:r>
      <w:r w:rsidRPr="00BD2C73">
        <w:rPr>
          <w:rFonts w:ascii="Abadi" w:hAnsi="Abadi"/>
          <w:sz w:val="16"/>
          <w:szCs w:val="16"/>
        </w:rPr>
        <w:t>.</w:t>
      </w:r>
    </w:p>
  </w:footnote>
  <w:footnote w:id="43">
    <w:p w14:paraId="0071F5B5" w14:textId="64722E7F" w:rsidR="00C3307B" w:rsidRPr="00BD2C73" w:rsidRDefault="00C3307B" w:rsidP="00C3307B">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cs="Courier New"/>
          <w:color w:val="000000"/>
          <w:sz w:val="16"/>
          <w:szCs w:val="16"/>
          <w:shd w:val="clear" w:color="auto" w:fill="FFFFFF"/>
        </w:rPr>
        <w:t>Artículo 4</w:t>
      </w:r>
      <w:r w:rsidR="00617EB6" w:rsidRPr="00BD2C73">
        <w:rPr>
          <w:rFonts w:ascii="Abadi" w:hAnsi="Abadi" w:cs="Courier New"/>
          <w:color w:val="000000"/>
          <w:sz w:val="16"/>
          <w:szCs w:val="16"/>
          <w:shd w:val="clear" w:color="auto" w:fill="FFFFFF"/>
        </w:rPr>
        <w:t>°. -</w:t>
      </w:r>
      <w:r w:rsidRPr="00BD2C73">
        <w:rPr>
          <w:rFonts w:ascii="Abadi" w:hAnsi="Abadi" w:cs="Courier New"/>
          <w:color w:val="000000"/>
          <w:sz w:val="16"/>
          <w:szCs w:val="16"/>
          <w:shd w:val="clear" w:color="auto" w:fill="FFFFFF"/>
        </w:rPr>
        <w:t xml:space="preserve"> El Estado será responsable por los daños que causen los órganos de la Administración en el ejercicio de sus funciones, sin perjuicio de las responsabilidades que pudieren afectar al funcionario que los hubiere ocasionado.</w:t>
      </w:r>
    </w:p>
  </w:footnote>
  <w:footnote w:id="44">
    <w:p w14:paraId="602A934A" w14:textId="6DAED88C" w:rsidR="00A97324" w:rsidRPr="00F41D1D" w:rsidRDefault="00A97324" w:rsidP="00A97324">
      <w:pPr>
        <w:pStyle w:val="Textonotapie"/>
        <w:jc w:val="both"/>
        <w:rPr>
          <w:rFonts w:ascii="Abadi" w:hAnsi="Abadi"/>
          <w:sz w:val="18"/>
          <w:szCs w:val="18"/>
          <w:lang w:val="es-ES"/>
        </w:rPr>
      </w:pPr>
      <w:r w:rsidRPr="00BD2C73">
        <w:rPr>
          <w:rStyle w:val="Refdenotaalpie"/>
          <w:sz w:val="16"/>
          <w:szCs w:val="16"/>
        </w:rPr>
        <w:footnoteRef/>
      </w:r>
      <w:r w:rsidRPr="00BD2C73">
        <w:rPr>
          <w:sz w:val="16"/>
          <w:szCs w:val="16"/>
        </w:rPr>
        <w:t xml:space="preserve"> </w:t>
      </w:r>
      <w:r w:rsidRPr="00BD2C73">
        <w:rPr>
          <w:rFonts w:ascii="Abadi" w:hAnsi="Abadi"/>
          <w:sz w:val="16"/>
          <w:szCs w:val="16"/>
        </w:rPr>
        <w:t>Sentencia Excma. Corte Suprema, «Hernández con Servicio de Salud de Concepción», Rol 1290-2002, de 30 de abril de 2003</w:t>
      </w:r>
      <w:r w:rsidR="00E50B74" w:rsidRPr="00BD2C73">
        <w:rPr>
          <w:rFonts w:ascii="Abadi" w:hAnsi="Abadi"/>
          <w:sz w:val="16"/>
          <w:szCs w:val="16"/>
        </w:rPr>
        <w:t>. As</w:t>
      </w:r>
      <w:r w:rsidR="00BE2CA4" w:rsidRPr="00BD2C73">
        <w:rPr>
          <w:rFonts w:ascii="Abadi" w:hAnsi="Abadi"/>
          <w:sz w:val="16"/>
          <w:szCs w:val="16"/>
        </w:rPr>
        <w:t>í</w:t>
      </w:r>
      <w:r w:rsidR="00E50B74" w:rsidRPr="00BD2C73">
        <w:rPr>
          <w:rFonts w:ascii="Abadi" w:hAnsi="Abadi"/>
          <w:sz w:val="16"/>
          <w:szCs w:val="16"/>
        </w:rPr>
        <w:t xml:space="preserve"> como en innumerables sentencias del año 20</w:t>
      </w:r>
      <w:r w:rsidR="00BE2CA4" w:rsidRPr="00BD2C73">
        <w:rPr>
          <w:rFonts w:ascii="Abadi" w:hAnsi="Abadi"/>
          <w:sz w:val="16"/>
          <w:szCs w:val="16"/>
        </w:rPr>
        <w:t xml:space="preserve">18 consignadas en </w:t>
      </w:r>
      <w:r w:rsidR="00BE2CA4" w:rsidRPr="00BD2C73">
        <w:rPr>
          <w:rFonts w:ascii="Abadi" w:hAnsi="Abadi"/>
          <w:sz w:val="16"/>
          <w:szCs w:val="16"/>
          <w:lang w:val="es-ES"/>
        </w:rPr>
        <w:t>“Responsabilidad del Estado por falta de servicio. Colecciones Jurídicas de la Corte Suprema”. Dirección de Estudios. IDECS: 1496. N° Informe: 154-2018. Fecha: 26-12-2018</w:t>
      </w:r>
    </w:p>
  </w:footnote>
  <w:footnote w:id="45">
    <w:p w14:paraId="72F6FF5F" w14:textId="062C5A4D" w:rsidR="00A94A7F" w:rsidRPr="00BD2C73" w:rsidRDefault="00A94A7F" w:rsidP="00BD2C73">
      <w:pPr>
        <w:spacing w:after="0"/>
        <w:jc w:val="both"/>
        <w:rPr>
          <w:rFonts w:ascii="Abadi" w:hAnsi="Abadi"/>
          <w:sz w:val="16"/>
          <w:szCs w:val="16"/>
        </w:rPr>
      </w:pPr>
      <w:r w:rsidRPr="00F41D1D">
        <w:rPr>
          <w:rStyle w:val="Refdenotaalpie"/>
          <w:sz w:val="18"/>
          <w:szCs w:val="18"/>
        </w:rPr>
        <w:footnoteRef/>
      </w:r>
      <w:r w:rsidRPr="00F41D1D">
        <w:rPr>
          <w:sz w:val="18"/>
          <w:szCs w:val="18"/>
        </w:rPr>
        <w:t xml:space="preserve"> </w:t>
      </w:r>
      <w:r w:rsidRPr="00BD2C73">
        <w:rPr>
          <w:rFonts w:ascii="Abadi" w:hAnsi="Abadi"/>
          <w:sz w:val="16"/>
          <w:szCs w:val="16"/>
        </w:rPr>
        <w:t>CORTE SUPREMA. ROL 5.094/2017, 17 ENERO 2018. SENTENCIA DE REEMPLAZO, LITERAL C CORTE SUPREMA. ROL 3.958/2017, 12 MARZO 2018. SENTENCIA DE REEMPLAZO, CONSIDERANDO 1° CORTE SUPREMA. ROL 10.165/2017, 23 MARZO 2018. SENTENCIA DE REEMPLAZO, LITERAL C CORTE SUPREMA. ROL 18.225/2017, 17 ABRIL 2018. SENTENCIA DE REEMPLAZO, CONSIDERANDO II.C CORTE SUPREMA. ROL 43.707/2017, 21 AGOSTO 2018. SENTENCIA DE REEMPLAZO, CONSIDERANDO 1° CORTE SUPREMA. ROL 871/2018, 8 NOVIEMBRE 2018. SENTENCIA DE REEMPLAZO, CONSIDERANDO TERCERO.</w:t>
      </w:r>
    </w:p>
  </w:footnote>
  <w:footnote w:id="46">
    <w:p w14:paraId="3967784E" w14:textId="30F0B3A5" w:rsidR="00A94A7F" w:rsidRPr="00BD2C73" w:rsidRDefault="00A94A7F" w:rsidP="00BD2C73">
      <w:pPr>
        <w:pStyle w:val="Textonotapie"/>
        <w:jc w:val="both"/>
        <w:rPr>
          <w:b/>
          <w:bCs/>
          <w:sz w:val="16"/>
          <w:szCs w:val="16"/>
        </w:rPr>
      </w:pPr>
      <w:r w:rsidRPr="00BD2C73">
        <w:rPr>
          <w:rStyle w:val="Refdenotaalpie"/>
          <w:sz w:val="16"/>
          <w:szCs w:val="16"/>
        </w:rPr>
        <w:footnoteRef/>
      </w:r>
      <w:r w:rsidRPr="00BD2C73">
        <w:rPr>
          <w:sz w:val="16"/>
          <w:szCs w:val="16"/>
        </w:rPr>
        <w:t xml:space="preserve"> CORTE SUPREMA. ROL 35.228/2017, 25 JUNIO 2018. SENTENCIA DE REEMPLAZO, CONSIDERANDO </w:t>
      </w:r>
      <w:r w:rsidR="00617EB6" w:rsidRPr="00BD2C73">
        <w:rPr>
          <w:sz w:val="16"/>
          <w:szCs w:val="16"/>
        </w:rPr>
        <w:t>SEXTO.</w:t>
      </w:r>
    </w:p>
  </w:footnote>
  <w:footnote w:id="47">
    <w:p w14:paraId="1F46F439" w14:textId="58DB2AA4" w:rsidR="00671903" w:rsidRPr="00BD2C73" w:rsidRDefault="00671903" w:rsidP="00BD2C73">
      <w:pPr>
        <w:spacing w:after="0" w:line="240" w:lineRule="auto"/>
        <w:jc w:val="both"/>
        <w:rPr>
          <w:sz w:val="16"/>
          <w:szCs w:val="16"/>
        </w:rPr>
      </w:pPr>
      <w:r w:rsidRPr="00BD2C73">
        <w:rPr>
          <w:rStyle w:val="Refdenotaalpie"/>
          <w:sz w:val="16"/>
          <w:szCs w:val="16"/>
        </w:rPr>
        <w:footnoteRef/>
      </w:r>
      <w:r w:rsidRPr="00BD2C73">
        <w:rPr>
          <w:sz w:val="16"/>
          <w:szCs w:val="16"/>
        </w:rPr>
        <w:t xml:space="preserve"> </w:t>
      </w:r>
      <w:r w:rsidRPr="00BD2C73">
        <w:rPr>
          <w:rFonts w:ascii="Abadi" w:hAnsi="Abadi"/>
          <w:sz w:val="16"/>
          <w:szCs w:val="16"/>
        </w:rPr>
        <w:t>CORTE</w:t>
      </w:r>
      <w:r w:rsidR="00A94A7F" w:rsidRPr="00BD2C73">
        <w:rPr>
          <w:rFonts w:ascii="Abadi" w:hAnsi="Abadi"/>
          <w:sz w:val="16"/>
          <w:szCs w:val="16"/>
        </w:rPr>
        <w:t xml:space="preserve"> </w:t>
      </w:r>
      <w:r w:rsidRPr="00BD2C73">
        <w:rPr>
          <w:rFonts w:ascii="Abadi" w:hAnsi="Abadi"/>
          <w:sz w:val="16"/>
          <w:szCs w:val="16"/>
        </w:rPr>
        <w:t>SUPREMA. ROL 35.228/2017, 25 JUNIO 2018. SENTENCIA DE REEMPLAZO, CONSIDERANDO SEXTO.</w:t>
      </w:r>
    </w:p>
  </w:footnote>
  <w:footnote w:id="48">
    <w:p w14:paraId="5E9CDE96" w14:textId="77777777" w:rsidR="00671903" w:rsidRPr="00671903" w:rsidRDefault="00671903" w:rsidP="00BD2C73">
      <w:pPr>
        <w:spacing w:after="0" w:line="240" w:lineRule="auto"/>
        <w:jc w:val="both"/>
        <w:rPr>
          <w:rFonts w:ascii="Abadi" w:hAnsi="Abadi"/>
          <w:sz w:val="16"/>
          <w:szCs w:val="16"/>
        </w:rPr>
      </w:pPr>
      <w:r w:rsidRPr="00BD2C73">
        <w:rPr>
          <w:rStyle w:val="Refdenotaalpie"/>
          <w:sz w:val="16"/>
          <w:szCs w:val="16"/>
        </w:rPr>
        <w:footnoteRef/>
      </w:r>
      <w:r w:rsidRPr="00BD2C73">
        <w:rPr>
          <w:sz w:val="16"/>
          <w:szCs w:val="16"/>
        </w:rPr>
        <w:t xml:space="preserve"> </w:t>
      </w:r>
      <w:r w:rsidRPr="00BD2C73">
        <w:rPr>
          <w:rFonts w:ascii="Abadi" w:hAnsi="Abadi"/>
          <w:sz w:val="16"/>
          <w:szCs w:val="16"/>
        </w:rPr>
        <w:t>CORTE SUPREMA. ROL 39.484/2017, 2 OCTUBRE 2018. SENTENCIA DE REEMPLAZO, PREVENCIÓN MINISTRO SR. MUÑOZ, NUMERAL 7°</w:t>
      </w:r>
    </w:p>
  </w:footnote>
  <w:footnote w:id="49">
    <w:p w14:paraId="4E556D05" w14:textId="757B3E53" w:rsidR="00202216" w:rsidRPr="00BD2C73" w:rsidRDefault="00202216" w:rsidP="00202216">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CORTE SUPREMA. ROL 21.793/2017, 27 FEBRERO 2018. CONSIDERANDO </w:t>
      </w:r>
      <w:r w:rsidR="00617EB6" w:rsidRPr="00BD2C73">
        <w:rPr>
          <w:rFonts w:ascii="Abadi" w:hAnsi="Abadi"/>
          <w:sz w:val="16"/>
          <w:szCs w:val="16"/>
        </w:rPr>
        <w:t>QUINTO;</w:t>
      </w:r>
      <w:r w:rsidRPr="00BD2C73">
        <w:rPr>
          <w:rFonts w:ascii="Abadi" w:hAnsi="Abadi"/>
          <w:sz w:val="16"/>
          <w:szCs w:val="16"/>
        </w:rPr>
        <w:t xml:space="preserve"> CORTE SUPREMA. ROL 35.228/2017, 25 JUNIO 2018. SENTENCIA DE REEMPLAZO, CONSIDERANDO SEXTO.</w:t>
      </w:r>
    </w:p>
  </w:footnote>
  <w:footnote w:id="50">
    <w:p w14:paraId="50FDE917" w14:textId="77777777" w:rsidR="00057A24" w:rsidRPr="00BD2C73" w:rsidRDefault="00057A24" w:rsidP="00057A24">
      <w:pPr>
        <w:pStyle w:val="Textonotapie"/>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Ibidem.</w:t>
      </w:r>
    </w:p>
  </w:footnote>
  <w:footnote w:id="51">
    <w:p w14:paraId="37E40B0C" w14:textId="77777777" w:rsidR="00057A24" w:rsidRPr="00BD2C73" w:rsidRDefault="00057A24" w:rsidP="00057A24">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CORTE SUPREMA. ROL 7.113/2017, 11 ENERO 2018. SENTENCIA DE REEMPLAZO, CONSIDERANDO NOVENO</w:t>
      </w:r>
    </w:p>
  </w:footnote>
  <w:footnote w:id="52">
    <w:p w14:paraId="50B326F4" w14:textId="410169D9" w:rsidR="00BE2976" w:rsidRPr="00BD2C73" w:rsidRDefault="00BE2976" w:rsidP="00BE2976">
      <w:pPr>
        <w:pStyle w:val="Textonotapie"/>
        <w:jc w:val="both"/>
        <w:rPr>
          <w:rFonts w:ascii="Abadi" w:hAnsi="Abadi"/>
          <w:sz w:val="16"/>
          <w:szCs w:val="16"/>
          <w:lang w:val="es-ES"/>
        </w:rPr>
      </w:pPr>
      <w:r w:rsidRPr="00BD2C73">
        <w:rPr>
          <w:rStyle w:val="Refdenotaalpie"/>
          <w:rFonts w:ascii="Abadi" w:hAnsi="Abadi"/>
          <w:sz w:val="16"/>
          <w:szCs w:val="16"/>
        </w:rPr>
        <w:footnoteRef/>
      </w:r>
      <w:r w:rsidR="00EA4D46" w:rsidRPr="00BD2C73">
        <w:rPr>
          <w:rFonts w:ascii="Abadi" w:hAnsi="Abadi"/>
          <w:sz w:val="16"/>
          <w:szCs w:val="16"/>
          <w:lang w:val="es-ES"/>
        </w:rPr>
        <w:t>CORTE SUPREMA</w:t>
      </w:r>
      <w:r w:rsidR="004F412B" w:rsidRPr="00BD2C73">
        <w:rPr>
          <w:rFonts w:ascii="Abadi" w:hAnsi="Abadi"/>
          <w:sz w:val="16"/>
          <w:szCs w:val="16"/>
        </w:rPr>
        <w:t xml:space="preserve">. </w:t>
      </w:r>
      <w:r w:rsidR="00EA4D46" w:rsidRPr="00BD2C73">
        <w:rPr>
          <w:rFonts w:ascii="Abadi" w:hAnsi="Abadi"/>
          <w:sz w:val="16"/>
          <w:szCs w:val="16"/>
        </w:rPr>
        <w:t xml:space="preserve">Causa </w:t>
      </w:r>
      <w:r w:rsidRPr="00BD2C73">
        <w:rPr>
          <w:rFonts w:ascii="Abadi" w:hAnsi="Abadi"/>
          <w:sz w:val="16"/>
          <w:szCs w:val="16"/>
          <w:lang w:val="es-ES"/>
        </w:rPr>
        <w:t>Rol N° 306-2020</w:t>
      </w:r>
      <w:r w:rsidR="004F412B" w:rsidRPr="00BD2C73">
        <w:rPr>
          <w:rFonts w:ascii="Abadi" w:hAnsi="Abadi"/>
          <w:sz w:val="16"/>
          <w:szCs w:val="16"/>
          <w:lang w:val="es-ES"/>
        </w:rPr>
        <w:t xml:space="preserve">. </w:t>
      </w:r>
      <w:r w:rsidRPr="00BD2C73">
        <w:rPr>
          <w:rFonts w:ascii="Abadi" w:hAnsi="Abadi"/>
          <w:sz w:val="16"/>
          <w:szCs w:val="16"/>
          <w:lang w:val="es-ES"/>
        </w:rPr>
        <w:t xml:space="preserve">“Hernández Céspedes, Marcelo y otros con Fisco de Chile. </w:t>
      </w:r>
      <w:r w:rsidR="004F412B" w:rsidRPr="00BD2C73">
        <w:rPr>
          <w:rFonts w:ascii="Abadi" w:hAnsi="Abadi"/>
          <w:sz w:val="16"/>
          <w:szCs w:val="16"/>
        </w:rPr>
        <w:t xml:space="preserve">SENTENCIA DE </w:t>
      </w:r>
      <w:r w:rsidR="00617EB6" w:rsidRPr="00BD2C73">
        <w:rPr>
          <w:rFonts w:ascii="Abadi" w:hAnsi="Abadi"/>
          <w:sz w:val="16"/>
          <w:szCs w:val="16"/>
        </w:rPr>
        <w:t>REEMPLAZO,</w:t>
      </w:r>
      <w:r w:rsidR="00617EB6" w:rsidRPr="00BD2C73">
        <w:rPr>
          <w:rFonts w:ascii="Abadi" w:hAnsi="Abadi"/>
          <w:sz w:val="16"/>
          <w:szCs w:val="16"/>
          <w:lang w:val="es-ES"/>
        </w:rPr>
        <w:t xml:space="preserve"> Considerando</w:t>
      </w:r>
      <w:r w:rsidRPr="00BD2C73">
        <w:rPr>
          <w:rFonts w:ascii="Abadi" w:hAnsi="Abadi"/>
          <w:sz w:val="16"/>
          <w:szCs w:val="16"/>
          <w:lang w:val="es-ES"/>
        </w:rPr>
        <w:t xml:space="preserve"> 3°</w:t>
      </w:r>
    </w:p>
  </w:footnote>
  <w:footnote w:id="53">
    <w:p w14:paraId="03EA3830" w14:textId="77777777" w:rsidR="00BE2976" w:rsidRPr="00BD2C73" w:rsidRDefault="00BE2976" w:rsidP="00BE2976">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sz w:val="16"/>
          <w:szCs w:val="16"/>
          <w:lang w:val="es-ES"/>
        </w:rPr>
        <w:t>Ibidem. Considerando 9°</w:t>
      </w:r>
    </w:p>
  </w:footnote>
  <w:footnote w:id="54">
    <w:p w14:paraId="4B7A2FE0" w14:textId="77777777" w:rsidR="00BE2976" w:rsidRPr="00BD2C73" w:rsidRDefault="00BE2976" w:rsidP="00BE2976">
      <w:pPr>
        <w:pStyle w:val="Textonotapie"/>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sz w:val="16"/>
          <w:szCs w:val="16"/>
          <w:lang w:val="es-ES"/>
        </w:rPr>
        <w:t>Ibidem. Considerando 19°</w:t>
      </w:r>
    </w:p>
  </w:footnote>
  <w:footnote w:id="55">
    <w:p w14:paraId="13C0FC1C" w14:textId="259ED47D" w:rsidR="00E8614A" w:rsidRPr="00BD2C73" w:rsidRDefault="00E8614A">
      <w:pPr>
        <w:pStyle w:val="Textonotapie"/>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00907628" w:rsidRPr="00BD2C73">
        <w:rPr>
          <w:rFonts w:ascii="Abadi" w:hAnsi="Abadi"/>
          <w:sz w:val="16"/>
          <w:szCs w:val="16"/>
          <w:lang w:val="es-ES"/>
        </w:rPr>
        <w:t>Ibidem. Considerando 6°</w:t>
      </w:r>
    </w:p>
  </w:footnote>
  <w:footnote w:id="56">
    <w:p w14:paraId="778C98E3" w14:textId="15724FFC" w:rsidR="00EA4D46" w:rsidRDefault="00EA4D46" w:rsidP="004F412B">
      <w:pPr>
        <w:pStyle w:val="Textonotapie"/>
        <w:jc w:val="both"/>
        <w:rPr>
          <w:rFonts w:ascii="Arial" w:eastAsia="Arial" w:hAnsi="Arial" w:cs="Arial"/>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sz w:val="16"/>
          <w:szCs w:val="16"/>
          <w:lang w:val="es-ES"/>
        </w:rPr>
        <w:t>CORTE SUPREMA</w:t>
      </w:r>
      <w:r w:rsidR="004F412B" w:rsidRPr="00BD2C73">
        <w:rPr>
          <w:rFonts w:ascii="Abadi" w:hAnsi="Abadi"/>
          <w:sz w:val="16"/>
          <w:szCs w:val="16"/>
        </w:rPr>
        <w:t>.</w:t>
      </w:r>
      <w:r w:rsidRPr="00BD2C73">
        <w:rPr>
          <w:rFonts w:ascii="Abadi" w:hAnsi="Abadi"/>
          <w:sz w:val="16"/>
          <w:szCs w:val="16"/>
        </w:rPr>
        <w:t xml:space="preserve"> Causa Rol 82-2021</w:t>
      </w:r>
      <w:r w:rsidR="004F412B" w:rsidRPr="00BD2C73">
        <w:rPr>
          <w:rFonts w:ascii="Abadi" w:hAnsi="Abadi"/>
          <w:sz w:val="16"/>
          <w:szCs w:val="16"/>
          <w:lang w:val="es-ES"/>
        </w:rPr>
        <w:t xml:space="preserve">, juicio ordinario sobre indemnización de perjuicios caratulados “Luchsinger Mackay con Fisco de Chile”, </w:t>
      </w:r>
      <w:r w:rsidR="004F412B" w:rsidRPr="00BD2C73">
        <w:rPr>
          <w:rFonts w:ascii="Abadi" w:hAnsi="Abadi"/>
          <w:sz w:val="16"/>
          <w:szCs w:val="16"/>
        </w:rPr>
        <w:t xml:space="preserve">SENTENCIA DE REEMPLAZO. </w:t>
      </w:r>
      <w:r w:rsidRPr="00BD2C73">
        <w:rPr>
          <w:rFonts w:ascii="Abadi" w:hAnsi="Abadi"/>
          <w:sz w:val="16"/>
          <w:szCs w:val="16"/>
          <w:lang w:val="es-ES"/>
        </w:rPr>
        <w:t xml:space="preserve">Considerando 20 </w:t>
      </w:r>
    </w:p>
  </w:footnote>
  <w:footnote w:id="57">
    <w:p w14:paraId="0A2D7E1E" w14:textId="681AA8AC" w:rsidR="00A56483" w:rsidRPr="00BD2C73" w:rsidRDefault="00A56483" w:rsidP="00BD2C73">
      <w:pPr>
        <w:pStyle w:val="Textonotapie"/>
        <w:jc w:val="both"/>
        <w:rPr>
          <w:rFonts w:ascii="Abadi" w:hAnsi="Abadi"/>
          <w:sz w:val="16"/>
          <w:szCs w:val="16"/>
          <w:lang w:val="es-ES"/>
        </w:rPr>
      </w:pPr>
      <w:r>
        <w:rPr>
          <w:rStyle w:val="Refdenotaalpie"/>
        </w:rPr>
        <w:footnoteRef/>
      </w:r>
      <w:r>
        <w:t xml:space="preserve"> </w:t>
      </w:r>
      <w:r w:rsidRPr="00BD2C73">
        <w:rPr>
          <w:rFonts w:ascii="Abadi" w:hAnsi="Abadi"/>
          <w:sz w:val="16"/>
          <w:szCs w:val="16"/>
          <w:lang w:val="es-ES"/>
        </w:rPr>
        <w:t>CORTE SUPREMA. ROL 39.484/2017, 2 OCTUBRE 2018. SENTENCIA DE REEMPLAZO, PREVENCIÓN MINISTRO SR. MUÑOZ, CONSIDERANDO 7°</w:t>
      </w:r>
    </w:p>
  </w:footnote>
  <w:footnote w:id="58">
    <w:p w14:paraId="5942E9A5" w14:textId="30756014" w:rsidR="00A56483" w:rsidRPr="00BD2C73" w:rsidRDefault="00A56483" w:rsidP="00BD2C73">
      <w:pPr>
        <w:spacing w:after="0"/>
        <w:jc w:val="both"/>
        <w:rPr>
          <w:rFonts w:ascii="Abadi" w:hAnsi="Abadi"/>
          <w:sz w:val="16"/>
          <w:szCs w:val="16"/>
        </w:rPr>
      </w:pPr>
      <w:r w:rsidRPr="00BD2C73">
        <w:rPr>
          <w:rStyle w:val="Refdenotaalpie"/>
          <w:rFonts w:ascii="Abadi" w:hAnsi="Abadi"/>
          <w:sz w:val="16"/>
          <w:szCs w:val="16"/>
        </w:rPr>
        <w:footnoteRef/>
      </w:r>
      <w:r w:rsidRPr="00BD2C73">
        <w:rPr>
          <w:rFonts w:ascii="Abadi" w:hAnsi="Abadi"/>
          <w:sz w:val="16"/>
          <w:szCs w:val="16"/>
        </w:rPr>
        <w:t>Cordero Vega (2012), «La responsabilidad por falta de servicio y la jurisprudencia de la Corte Suprema», en La falta de servicio, Santiago: Abeledo-Perrot/Thomson Reuters.</w:t>
      </w:r>
    </w:p>
  </w:footnote>
  <w:footnote w:id="59">
    <w:p w14:paraId="5D96D9EE" w14:textId="77777777" w:rsidR="00A56483" w:rsidRPr="00BD2C73" w:rsidRDefault="00A56483" w:rsidP="00BD2C73">
      <w:pPr>
        <w:spacing w:after="0"/>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Pr="00BD2C73">
        <w:rPr>
          <w:rFonts w:ascii="Abadi" w:hAnsi="Abadi"/>
          <w:sz w:val="16"/>
          <w:szCs w:val="16"/>
          <w:lang w:val="es-ES"/>
        </w:rPr>
        <w:t>CORTE SUPREMA. ROL 35.228/2017, 25 JUNIO 2018. SENTENCIA DE REEMPLAZO, CONSIDERANDO SEXTO</w:t>
      </w:r>
    </w:p>
  </w:footnote>
  <w:footnote w:id="60">
    <w:p w14:paraId="5C1FADD9" w14:textId="3655BC22" w:rsidR="00C05000" w:rsidRPr="004E0E41" w:rsidRDefault="00C05000" w:rsidP="00BD2C73">
      <w:pPr>
        <w:pStyle w:val="Textonotapie"/>
        <w:jc w:val="both"/>
        <w:rPr>
          <w:rFonts w:ascii="Abadi" w:hAnsi="Abadi"/>
          <w:sz w:val="18"/>
          <w:szCs w:val="18"/>
          <w:lang w:val="es-ES"/>
        </w:rPr>
      </w:pPr>
      <w:r w:rsidRPr="00BD2C73">
        <w:rPr>
          <w:rStyle w:val="Refdenotaalpie"/>
          <w:rFonts w:ascii="Abadi" w:hAnsi="Abadi"/>
          <w:sz w:val="16"/>
          <w:szCs w:val="16"/>
        </w:rPr>
        <w:footnoteRef/>
      </w:r>
      <w:r w:rsidRPr="00BD2C73">
        <w:rPr>
          <w:rFonts w:ascii="Abadi" w:hAnsi="Abadi"/>
          <w:sz w:val="16"/>
          <w:szCs w:val="16"/>
        </w:rPr>
        <w:t xml:space="preserve"> </w:t>
      </w:r>
      <w:r w:rsidR="0038793A" w:rsidRPr="00BD2C73">
        <w:rPr>
          <w:rFonts w:ascii="Abadi" w:hAnsi="Abadi"/>
          <w:sz w:val="16"/>
          <w:szCs w:val="16"/>
        </w:rPr>
        <w:t>Cordero, 2012</w:t>
      </w:r>
      <w:r w:rsidR="0038793A" w:rsidRPr="00BD2C73">
        <w:rPr>
          <w:rFonts w:ascii="Abadi" w:hAnsi="Abadi"/>
          <w:sz w:val="16"/>
          <w:szCs w:val="16"/>
          <w:lang w:val="es-ES"/>
        </w:rPr>
        <w:t>.</w:t>
      </w:r>
    </w:p>
  </w:footnote>
  <w:footnote w:id="61">
    <w:p w14:paraId="3A073D4C" w14:textId="51DEA74D" w:rsidR="00FA496A" w:rsidRPr="00BD2C73" w:rsidRDefault="00FA496A" w:rsidP="004E0E41">
      <w:pPr>
        <w:pStyle w:val="Textonotapie"/>
        <w:jc w:val="both"/>
        <w:rPr>
          <w:rFonts w:ascii="Abadi" w:hAnsi="Abadi"/>
          <w:sz w:val="16"/>
          <w:szCs w:val="16"/>
          <w:lang w:val="es-ES"/>
        </w:rPr>
      </w:pPr>
      <w:r w:rsidRPr="00BD2C73">
        <w:rPr>
          <w:rStyle w:val="Refdenotaalpie"/>
          <w:rFonts w:ascii="Abadi" w:hAnsi="Abadi"/>
          <w:sz w:val="16"/>
          <w:szCs w:val="16"/>
          <w:vertAlign w:val="baseline"/>
        </w:rPr>
        <w:footnoteRef/>
      </w:r>
      <w:r w:rsidRPr="00BD2C73">
        <w:rPr>
          <w:rFonts w:ascii="Abadi" w:hAnsi="Abadi"/>
          <w:sz w:val="16"/>
          <w:szCs w:val="16"/>
          <w:lang w:val="es-ES"/>
        </w:rPr>
        <w:t xml:space="preserve"> </w:t>
      </w:r>
      <w:r w:rsidR="0038793A" w:rsidRPr="00BD2C73">
        <w:rPr>
          <w:rFonts w:ascii="Abadi" w:hAnsi="Abadi"/>
          <w:sz w:val="16"/>
          <w:szCs w:val="16"/>
        </w:rPr>
        <w:t>Cordero, 2012</w:t>
      </w:r>
      <w:r w:rsidRPr="00BD2C73">
        <w:rPr>
          <w:rFonts w:ascii="Abadi" w:hAnsi="Abadi"/>
          <w:sz w:val="16"/>
          <w:szCs w:val="16"/>
          <w:lang w:val="es-ES"/>
        </w:rPr>
        <w:t>.</w:t>
      </w:r>
    </w:p>
  </w:footnote>
  <w:footnote w:id="62">
    <w:p w14:paraId="725EACB7" w14:textId="557008B0" w:rsidR="0038793A" w:rsidRPr="00BD2C73" w:rsidRDefault="0038793A" w:rsidP="004E0E41">
      <w:pPr>
        <w:pStyle w:val="Textonotapie"/>
        <w:jc w:val="both"/>
        <w:rPr>
          <w:rFonts w:ascii="Abadi" w:hAnsi="Abadi"/>
          <w:sz w:val="16"/>
          <w:szCs w:val="16"/>
          <w:lang w:val="es-ES"/>
        </w:rPr>
      </w:pPr>
      <w:r w:rsidRPr="00BD2C73">
        <w:rPr>
          <w:rStyle w:val="Refdenotaalpie"/>
          <w:rFonts w:ascii="Abadi" w:hAnsi="Abadi"/>
          <w:sz w:val="16"/>
          <w:szCs w:val="16"/>
          <w:vertAlign w:val="baseline"/>
        </w:rPr>
        <w:footnoteRef/>
      </w:r>
      <w:r w:rsidRPr="00BD2C73">
        <w:rPr>
          <w:rFonts w:ascii="Abadi" w:hAnsi="Abadi"/>
          <w:sz w:val="16"/>
          <w:szCs w:val="16"/>
        </w:rPr>
        <w:t xml:space="preserve"> </w:t>
      </w:r>
      <w:r w:rsidR="004F412B" w:rsidRPr="00BD2C73">
        <w:rPr>
          <w:rFonts w:ascii="Abadi" w:hAnsi="Abadi"/>
          <w:sz w:val="16"/>
          <w:szCs w:val="16"/>
          <w:lang w:val="es-ES"/>
        </w:rPr>
        <w:t>CORTE SUPREMA</w:t>
      </w:r>
      <w:r w:rsidR="004F412B" w:rsidRPr="00BD2C73">
        <w:rPr>
          <w:rFonts w:ascii="Abadi" w:hAnsi="Abadi"/>
          <w:sz w:val="16"/>
          <w:szCs w:val="16"/>
        </w:rPr>
        <w:t>. Causa Rol 82-</w:t>
      </w:r>
      <w:r w:rsidR="00617EB6" w:rsidRPr="00BD2C73">
        <w:rPr>
          <w:rFonts w:ascii="Abadi" w:hAnsi="Abadi"/>
          <w:sz w:val="16"/>
          <w:szCs w:val="16"/>
        </w:rPr>
        <w:t>2021</w:t>
      </w:r>
      <w:r w:rsidR="00617EB6" w:rsidRPr="00BD2C73">
        <w:rPr>
          <w:rFonts w:ascii="Abadi" w:hAnsi="Abadi"/>
          <w:sz w:val="16"/>
          <w:szCs w:val="16"/>
          <w:lang w:val="es-ES"/>
        </w:rPr>
        <w:t>. “</w:t>
      </w:r>
      <w:r w:rsidR="004F412B" w:rsidRPr="00BD2C73">
        <w:rPr>
          <w:rFonts w:ascii="Abadi" w:hAnsi="Abadi"/>
          <w:sz w:val="16"/>
          <w:szCs w:val="16"/>
          <w:lang w:val="es-ES"/>
        </w:rPr>
        <w:t xml:space="preserve">Luchsinger Mackay con Fisco de Chile”, </w:t>
      </w:r>
      <w:r w:rsidR="004F412B" w:rsidRPr="00BD2C73">
        <w:rPr>
          <w:rFonts w:ascii="Abadi" w:hAnsi="Abadi"/>
          <w:sz w:val="16"/>
          <w:szCs w:val="16"/>
        </w:rPr>
        <w:t xml:space="preserve">SENTENCIA DE REEMPLAZO, </w:t>
      </w:r>
      <w:r w:rsidRPr="00BD2C73">
        <w:rPr>
          <w:rFonts w:ascii="Abadi" w:hAnsi="Abadi"/>
          <w:sz w:val="16"/>
          <w:szCs w:val="16"/>
          <w:lang w:val="es-ES"/>
        </w:rPr>
        <w:t xml:space="preserve">Considerando 19  </w:t>
      </w:r>
    </w:p>
  </w:footnote>
  <w:footnote w:id="63">
    <w:p w14:paraId="7A2BB7E7" w14:textId="6FC9AFC5" w:rsidR="009135F6" w:rsidRPr="00BD2C73" w:rsidRDefault="009135F6" w:rsidP="004E0E41">
      <w:pPr>
        <w:pStyle w:val="Textonotapie"/>
        <w:jc w:val="both"/>
        <w:rPr>
          <w:rFonts w:ascii="Abadi" w:hAnsi="Abadi"/>
          <w:sz w:val="16"/>
          <w:szCs w:val="16"/>
          <w:lang w:val="es-ES"/>
        </w:rPr>
      </w:pPr>
      <w:r w:rsidRPr="00BD2C73">
        <w:rPr>
          <w:rStyle w:val="Refdenotaalpie"/>
          <w:rFonts w:ascii="Abadi" w:hAnsi="Abadi"/>
          <w:sz w:val="16"/>
          <w:szCs w:val="16"/>
          <w:vertAlign w:val="baseline"/>
        </w:rPr>
        <w:footnoteRef/>
      </w:r>
      <w:r w:rsidRPr="00BD2C73">
        <w:rPr>
          <w:rFonts w:ascii="Abadi" w:hAnsi="Abadi"/>
          <w:sz w:val="16"/>
          <w:szCs w:val="16"/>
        </w:rPr>
        <w:t xml:space="preserve"> Bermúdez Soto, Jorge:  La responsabilidad extracontractual de la administración de Estado por falta de servicio y por el daño ambiental. Revista de Derecho de la Universidad Católica de Valparaíso XXIII (Valparaíso, Chile, 2002)</w:t>
      </w:r>
    </w:p>
  </w:footnote>
  <w:footnote w:id="64">
    <w:p w14:paraId="354D4C35" w14:textId="38C0C110" w:rsidR="00B06FF8" w:rsidRPr="00BD2C73" w:rsidRDefault="00B06FF8" w:rsidP="004E0E41">
      <w:pPr>
        <w:pStyle w:val="Textonotapie"/>
        <w:jc w:val="both"/>
        <w:rPr>
          <w:rFonts w:ascii="Abadi" w:hAnsi="Abadi"/>
          <w:sz w:val="16"/>
          <w:szCs w:val="16"/>
          <w:lang w:val="es-ES"/>
        </w:rPr>
      </w:pPr>
      <w:r w:rsidRPr="00BD2C73">
        <w:rPr>
          <w:rStyle w:val="Refdenotaalpie"/>
          <w:rFonts w:ascii="Abadi" w:hAnsi="Abadi"/>
          <w:sz w:val="16"/>
          <w:szCs w:val="16"/>
          <w:vertAlign w:val="baseline"/>
        </w:rPr>
        <w:footnoteRef/>
      </w:r>
      <w:r w:rsidRPr="00BD2C73">
        <w:rPr>
          <w:rFonts w:ascii="Abadi" w:hAnsi="Abadi"/>
          <w:sz w:val="16"/>
          <w:szCs w:val="16"/>
        </w:rPr>
        <w:t xml:space="preserve"> </w:t>
      </w:r>
      <w:r w:rsidRPr="00BD2C73">
        <w:rPr>
          <w:rFonts w:ascii="Abadi" w:hAnsi="Abadi"/>
          <w:sz w:val="16"/>
          <w:szCs w:val="16"/>
          <w:lang w:val="es-ES"/>
        </w:rPr>
        <w:t>Ibidem</w:t>
      </w:r>
    </w:p>
  </w:footnote>
  <w:footnote w:id="65">
    <w:p w14:paraId="50C0F140" w14:textId="390A88B8" w:rsidR="009135F6" w:rsidRPr="009135F6" w:rsidRDefault="009135F6" w:rsidP="004E0E41">
      <w:pPr>
        <w:pStyle w:val="Textonotapie"/>
        <w:jc w:val="both"/>
        <w:rPr>
          <w:lang w:val="es-ES"/>
        </w:rPr>
      </w:pPr>
      <w:r w:rsidRPr="00BD2C73">
        <w:rPr>
          <w:rStyle w:val="Refdenotaalpie"/>
          <w:rFonts w:ascii="Abadi" w:hAnsi="Abadi"/>
          <w:sz w:val="16"/>
          <w:szCs w:val="16"/>
          <w:vertAlign w:val="baseline"/>
        </w:rPr>
        <w:footnoteRef/>
      </w:r>
      <w:r w:rsidRPr="00BD2C73">
        <w:rPr>
          <w:rFonts w:ascii="Abadi" w:hAnsi="Abadi"/>
          <w:sz w:val="16"/>
          <w:szCs w:val="16"/>
        </w:rPr>
        <w:t xml:space="preserve"> </w:t>
      </w:r>
      <w:r w:rsidRPr="00BD2C73">
        <w:rPr>
          <w:rFonts w:ascii="Abadi" w:hAnsi="Abadi"/>
          <w:sz w:val="16"/>
          <w:szCs w:val="16"/>
          <w:lang w:val="es-ES"/>
        </w:rPr>
        <w:t>Ibidem</w:t>
      </w:r>
    </w:p>
  </w:footnote>
  <w:footnote w:id="66">
    <w:p w14:paraId="5274940B" w14:textId="13330925" w:rsidR="00A62DC5" w:rsidRPr="00BD2C73" w:rsidRDefault="00A62DC5" w:rsidP="007276E1">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w:t>
      </w:r>
      <w:r w:rsidR="008C0396" w:rsidRPr="00BD2C73">
        <w:rPr>
          <w:rFonts w:ascii="Abadi" w:hAnsi="Abadi"/>
          <w:sz w:val="16"/>
          <w:szCs w:val="16"/>
        </w:rPr>
        <w:t>CORTE SUPREMA. ROL 34.225/2017, 29 JUNIO 2018. CONSIDERANDO DÉCIMO PRIMERO</w:t>
      </w:r>
    </w:p>
  </w:footnote>
  <w:footnote w:id="67">
    <w:p w14:paraId="060C7DC8" w14:textId="38606468" w:rsidR="00A708E1" w:rsidRPr="00BD2C73" w:rsidRDefault="00A708E1" w:rsidP="007276E1">
      <w:pPr>
        <w:shd w:val="clear" w:color="auto" w:fill="FFFFFF"/>
        <w:spacing w:after="0" w:line="240" w:lineRule="auto"/>
        <w:jc w:val="both"/>
        <w:rPr>
          <w:rFonts w:ascii="Abadi" w:hAnsi="Abadi"/>
          <w:sz w:val="16"/>
          <w:szCs w:val="16"/>
        </w:rPr>
      </w:pPr>
      <w:r w:rsidRPr="00BD2C73">
        <w:rPr>
          <w:rStyle w:val="Refdenotaalpie"/>
          <w:rFonts w:ascii="Abadi" w:hAnsi="Abadi"/>
          <w:sz w:val="16"/>
          <w:szCs w:val="16"/>
        </w:rPr>
        <w:footnoteRef/>
      </w:r>
      <w:r w:rsidRPr="00BD2C73">
        <w:rPr>
          <w:rFonts w:ascii="Abadi" w:hAnsi="Abadi"/>
          <w:sz w:val="16"/>
          <w:szCs w:val="16"/>
        </w:rPr>
        <w:t xml:space="preserve"> Abeliuk René, Las Obligaciones.  Editorial Jurídica de Chile. Quinta edición actualizada, junio de 2008. Tomo I, páginas 254 y 255. CORTE SUPREMA. ROL 34.225/2017, 29 JUNIO 2018. CONSIDERANDO DÉCIMO PRIMERO </w:t>
      </w:r>
    </w:p>
  </w:footnote>
  <w:footnote w:id="68">
    <w:p w14:paraId="6F68D254" w14:textId="6198C870" w:rsidR="008C0396" w:rsidRPr="00BD2C73" w:rsidRDefault="008C0396" w:rsidP="007276E1">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Henri y </w:t>
      </w:r>
      <w:r w:rsidR="00617EB6" w:rsidRPr="00BD2C73">
        <w:rPr>
          <w:rFonts w:ascii="Abadi" w:hAnsi="Abadi"/>
          <w:sz w:val="16"/>
          <w:szCs w:val="16"/>
        </w:rPr>
        <w:t>León</w:t>
      </w:r>
      <w:r w:rsidRPr="00BD2C73">
        <w:rPr>
          <w:rFonts w:ascii="Abadi" w:hAnsi="Abadi"/>
          <w:sz w:val="16"/>
          <w:szCs w:val="16"/>
        </w:rPr>
        <w:t xml:space="preserve"> Mazeaud: Elementos de la responsabilidad civil. Perjuicio, culpa y relación de causalidad</w:t>
      </w:r>
      <w:r w:rsidR="007276E1" w:rsidRPr="00BD2C73">
        <w:rPr>
          <w:rFonts w:ascii="Abadi" w:hAnsi="Abadi"/>
          <w:sz w:val="16"/>
          <w:szCs w:val="16"/>
        </w:rPr>
        <w:t xml:space="preserve">. </w:t>
      </w:r>
      <w:r w:rsidRPr="00BD2C73">
        <w:rPr>
          <w:rFonts w:ascii="Abadi" w:hAnsi="Abadi"/>
          <w:sz w:val="16"/>
          <w:szCs w:val="16"/>
        </w:rPr>
        <w:t>Editorial Parlamento Ltda., noviembre de 2008. Página 456</w:t>
      </w:r>
      <w:r w:rsidR="007276E1" w:rsidRPr="00BD2C73">
        <w:rPr>
          <w:rFonts w:ascii="Abadi" w:hAnsi="Abadi"/>
          <w:sz w:val="16"/>
          <w:szCs w:val="16"/>
        </w:rPr>
        <w:t xml:space="preserve"> citado por CORTE SUPREMA. ROL 34.225/2017, 29 JUNIO 2018. CONSIDERANDO DÉCIMO PRIMERO</w:t>
      </w:r>
    </w:p>
  </w:footnote>
  <w:footnote w:id="69">
    <w:p w14:paraId="4D65E13C" w14:textId="6A4E1D09" w:rsidR="003C620D" w:rsidRPr="00BD2C73" w:rsidRDefault="003C620D" w:rsidP="003C620D">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Entre otras: CORTE SUPREMA. ROL 5.094/2017, 17 ENERO 2018. SENTENCIA DE REEMPLAZO, LITERAL </w:t>
      </w:r>
      <w:r w:rsidR="00617EB6" w:rsidRPr="00BD2C73">
        <w:rPr>
          <w:rFonts w:ascii="Abadi" w:hAnsi="Abadi"/>
          <w:sz w:val="16"/>
          <w:szCs w:val="16"/>
        </w:rPr>
        <w:t>Q; CORTE</w:t>
      </w:r>
      <w:r w:rsidRPr="00BD2C73">
        <w:rPr>
          <w:rFonts w:ascii="Abadi" w:hAnsi="Abadi"/>
          <w:sz w:val="16"/>
          <w:szCs w:val="16"/>
        </w:rPr>
        <w:t xml:space="preserve"> SUPREMA. ROL 21.599/2017, 27 FEBRERO 2018. SENTENCIA DE REEMPLAZO, NUMERAL </w:t>
      </w:r>
      <w:r w:rsidR="00617EB6" w:rsidRPr="00BD2C73">
        <w:rPr>
          <w:rFonts w:ascii="Abadi" w:hAnsi="Abadi"/>
          <w:sz w:val="16"/>
          <w:szCs w:val="16"/>
        </w:rPr>
        <w:t>10; CORTE</w:t>
      </w:r>
      <w:r w:rsidRPr="00BD2C73">
        <w:rPr>
          <w:rFonts w:ascii="Abadi" w:hAnsi="Abadi"/>
          <w:sz w:val="16"/>
          <w:szCs w:val="16"/>
        </w:rPr>
        <w:t xml:space="preserve"> SUPREMA. ROL 35.764/2017, 8 MARZO 2018. CONSIDERANDO DÉCIMO </w:t>
      </w:r>
      <w:r w:rsidR="00617EB6" w:rsidRPr="00BD2C73">
        <w:rPr>
          <w:rFonts w:ascii="Abadi" w:hAnsi="Abadi"/>
          <w:sz w:val="16"/>
          <w:szCs w:val="16"/>
        </w:rPr>
        <w:t>CUARTO; CORTE</w:t>
      </w:r>
      <w:r w:rsidRPr="00BD2C73">
        <w:rPr>
          <w:rFonts w:ascii="Abadi" w:hAnsi="Abadi"/>
          <w:sz w:val="16"/>
          <w:szCs w:val="16"/>
        </w:rPr>
        <w:t xml:space="preserve"> SUPREMA. ROL 18.225/2017, 17 ABRIL 2018. SENTENCIA DE REEMPLAZO, LITERAL </w:t>
      </w:r>
      <w:r w:rsidR="00617EB6" w:rsidRPr="00BD2C73">
        <w:rPr>
          <w:rFonts w:ascii="Abadi" w:hAnsi="Abadi"/>
          <w:sz w:val="16"/>
          <w:szCs w:val="16"/>
        </w:rPr>
        <w:t>Q;</w:t>
      </w:r>
      <w:r w:rsidRPr="00BD2C73">
        <w:rPr>
          <w:rFonts w:ascii="Abadi" w:hAnsi="Abadi"/>
          <w:sz w:val="16"/>
          <w:szCs w:val="16"/>
        </w:rPr>
        <w:t xml:space="preserve"> CORTE SUPREMA. ROL 11.761/2017, 12 JULIO 2018. CONSIDERANDO 19</w:t>
      </w:r>
      <w:r w:rsidR="00BF7394" w:rsidRPr="00BD2C73">
        <w:rPr>
          <w:rFonts w:ascii="Abadi" w:hAnsi="Abadi"/>
          <w:sz w:val="16"/>
          <w:szCs w:val="16"/>
        </w:rPr>
        <w:t>;</w:t>
      </w:r>
      <w:r w:rsidRPr="00BD2C73">
        <w:rPr>
          <w:rFonts w:ascii="Abadi" w:hAnsi="Abadi"/>
          <w:sz w:val="16"/>
          <w:szCs w:val="16"/>
        </w:rPr>
        <w:t xml:space="preserve"> CORTE SUPREMA. ROL 826/2018, 3 SEPTIEMBRE 2018. CONSIDERANDO DUODÉCIMO</w:t>
      </w:r>
      <w:r w:rsidR="00BF7394" w:rsidRPr="00BD2C73">
        <w:rPr>
          <w:rFonts w:ascii="Abadi" w:hAnsi="Abadi"/>
          <w:sz w:val="16"/>
          <w:szCs w:val="16"/>
        </w:rPr>
        <w:t>;</w:t>
      </w:r>
      <w:r w:rsidRPr="00BD2C73">
        <w:rPr>
          <w:rFonts w:ascii="Abadi" w:hAnsi="Abadi"/>
          <w:sz w:val="16"/>
          <w:szCs w:val="16"/>
        </w:rPr>
        <w:t xml:space="preserve"> CORTE SUPREMA. ROL 40.328/2017, 3 SEPTIEMBRE 2018. SENTENCIA DE REEMPLAZO, CONSIDERANDO DÉCIMO</w:t>
      </w:r>
      <w:r w:rsidR="00BF7394" w:rsidRPr="00BD2C73">
        <w:rPr>
          <w:rFonts w:ascii="Abadi" w:hAnsi="Abadi"/>
          <w:sz w:val="16"/>
          <w:szCs w:val="16"/>
        </w:rPr>
        <w:t>.</w:t>
      </w:r>
    </w:p>
  </w:footnote>
  <w:footnote w:id="70">
    <w:p w14:paraId="2E938CC7" w14:textId="338399EE" w:rsidR="0032654F" w:rsidRPr="00BD2C73" w:rsidRDefault="0032654F" w:rsidP="0032654F">
      <w:pPr>
        <w:pStyle w:val="Textonotapie"/>
        <w:jc w:val="both"/>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Araya Jasma, Fernando:  La Relación de causalidad en la responsabilidad civil. Editorial Lexis Nexis, Santiago, 2003, p.7, 9 y 181 citado por CORTE SUPREMA. ROL 18.225/2017, 17 ABRIL 2018. SENTENCIA DE REEMPLAZO, LITERAL Q CORTE SUPREMA. ROL 39.484/2017, 2 OCTUBRE 2018. CONSIDERANDO NOVENO- CORTE SUPREMA. ROL 871/2018, 8 NOVIEMBRE 2018. CONSIDERANDO VIGÉSIMO</w:t>
      </w:r>
    </w:p>
  </w:footnote>
  <w:footnote w:id="71">
    <w:p w14:paraId="1737EC82" w14:textId="1E944D6F" w:rsidR="0032654F" w:rsidRPr="00BD2C73" w:rsidRDefault="0032654F">
      <w:pPr>
        <w:pStyle w:val="Textonotapie"/>
        <w:rPr>
          <w:rFonts w:ascii="Abadi" w:hAnsi="Abadi"/>
          <w:sz w:val="16"/>
          <w:szCs w:val="16"/>
          <w:lang w:val="es-ES"/>
        </w:rPr>
      </w:pPr>
      <w:r w:rsidRPr="00BD2C73">
        <w:rPr>
          <w:rStyle w:val="Refdenotaalpie"/>
          <w:rFonts w:ascii="Abadi" w:hAnsi="Abadi"/>
          <w:sz w:val="16"/>
          <w:szCs w:val="16"/>
        </w:rPr>
        <w:footnoteRef/>
      </w:r>
      <w:r w:rsidRPr="00BD2C73">
        <w:rPr>
          <w:rFonts w:ascii="Abadi" w:hAnsi="Abadi"/>
          <w:sz w:val="16"/>
          <w:szCs w:val="16"/>
        </w:rPr>
        <w:t xml:space="preserve"> Cury Urzúa, Enrique: Derecho Penal. Parte General, décima edición año 2011, páginas 294 y siguientes.</w:t>
      </w:r>
    </w:p>
  </w:footnote>
  <w:footnote w:id="72">
    <w:p w14:paraId="69C803B3" w14:textId="3D83397C" w:rsidR="00053F72" w:rsidRPr="000B5D6D" w:rsidRDefault="00053F72" w:rsidP="000B5D6D">
      <w:pPr>
        <w:shd w:val="clear" w:color="auto" w:fill="FFFFFF"/>
        <w:spacing w:after="0" w:line="240" w:lineRule="auto"/>
        <w:jc w:val="both"/>
        <w:rPr>
          <w:rFonts w:ascii="Abadi" w:hAnsi="Abadi"/>
          <w:sz w:val="18"/>
          <w:szCs w:val="18"/>
        </w:rPr>
      </w:pPr>
      <w:r w:rsidRPr="00BD2C73">
        <w:rPr>
          <w:rStyle w:val="Refdenotaalpie"/>
          <w:rFonts w:ascii="Abadi" w:hAnsi="Abadi"/>
          <w:sz w:val="16"/>
          <w:szCs w:val="16"/>
        </w:rPr>
        <w:footnoteRef/>
      </w:r>
      <w:r w:rsidRPr="00BD2C73">
        <w:rPr>
          <w:rFonts w:ascii="Abadi" w:hAnsi="Abadi"/>
          <w:sz w:val="16"/>
          <w:szCs w:val="16"/>
        </w:rPr>
        <w:t xml:space="preserve"> Entre otro</w:t>
      </w:r>
      <w:r w:rsidR="00CF0B35" w:rsidRPr="00BD2C73">
        <w:rPr>
          <w:rFonts w:ascii="Abadi" w:hAnsi="Abadi"/>
          <w:sz w:val="16"/>
          <w:szCs w:val="16"/>
        </w:rPr>
        <w:t xml:space="preserve">s: </w:t>
      </w:r>
      <w:r w:rsidRPr="00BD2C73">
        <w:rPr>
          <w:rFonts w:ascii="Abadi" w:hAnsi="Abadi"/>
          <w:sz w:val="16"/>
          <w:szCs w:val="16"/>
        </w:rPr>
        <w:t xml:space="preserve">CORTE SUPREMA. ROL 35.764/2017, 8 MARZO 2018. CONSIDERANDO DÉCIMO </w:t>
      </w:r>
      <w:r w:rsidR="00617EB6" w:rsidRPr="00BD2C73">
        <w:rPr>
          <w:rFonts w:ascii="Abadi" w:hAnsi="Abadi"/>
          <w:sz w:val="16"/>
          <w:szCs w:val="16"/>
        </w:rPr>
        <w:t>CUARTO; CORTE</w:t>
      </w:r>
      <w:r w:rsidRPr="00BD2C73">
        <w:rPr>
          <w:rFonts w:ascii="Abadi" w:hAnsi="Abadi"/>
          <w:sz w:val="16"/>
          <w:szCs w:val="16"/>
        </w:rPr>
        <w:t xml:space="preserve"> SUPREMA. ROL 826/2018, 3 SEPTIEMBRE 2018. CONSIDERANDO DUODÉCIMO</w:t>
      </w:r>
      <w:r w:rsidR="00CF0B35" w:rsidRPr="00BD2C73">
        <w:rPr>
          <w:rFonts w:ascii="Abadi" w:hAnsi="Abadi"/>
          <w:sz w:val="16"/>
          <w:szCs w:val="16"/>
        </w:rPr>
        <w:t xml:space="preserve">; </w:t>
      </w:r>
      <w:r w:rsidRPr="00BD2C73">
        <w:rPr>
          <w:rFonts w:ascii="Abadi" w:hAnsi="Abadi"/>
          <w:sz w:val="16"/>
          <w:szCs w:val="16"/>
        </w:rPr>
        <w:t xml:space="preserve">CORTE SUPREMA. ROL 21.599/2017, 27 FEBRERO 2018. SENTENCIA DE REEMPLAZO, NUMERAL </w:t>
      </w:r>
      <w:r w:rsidR="00617EB6" w:rsidRPr="00BD2C73">
        <w:rPr>
          <w:rFonts w:ascii="Abadi" w:hAnsi="Abadi"/>
          <w:sz w:val="16"/>
          <w:szCs w:val="16"/>
        </w:rPr>
        <w:t>10; CORTE</w:t>
      </w:r>
      <w:r w:rsidRPr="00BD2C73">
        <w:rPr>
          <w:rFonts w:ascii="Abadi" w:hAnsi="Abadi"/>
          <w:sz w:val="16"/>
          <w:szCs w:val="16"/>
        </w:rPr>
        <w:t xml:space="preserve"> SUPREMA. ROL 35.764/2017, 8 MARZO 2018. CONSIDERANDO DÉCIMO </w:t>
      </w:r>
      <w:r w:rsidR="00617EB6" w:rsidRPr="00BD2C73">
        <w:rPr>
          <w:rFonts w:ascii="Abadi" w:hAnsi="Abadi"/>
          <w:sz w:val="16"/>
          <w:szCs w:val="16"/>
        </w:rPr>
        <w:t>CUARTO; CORTE</w:t>
      </w:r>
      <w:r w:rsidRPr="00BD2C73">
        <w:rPr>
          <w:rFonts w:ascii="Abadi" w:hAnsi="Abadi"/>
          <w:sz w:val="16"/>
          <w:szCs w:val="16"/>
        </w:rPr>
        <w:t xml:space="preserve"> SUPREMA. ROL 34.225/2017, 29 JUNIO 2018. CONSIDERANDO DÉCIMO PRIMERO</w:t>
      </w:r>
      <w:r w:rsidR="00CF0B35" w:rsidRPr="00BD2C73">
        <w:rPr>
          <w:rFonts w:ascii="Abadi" w:hAnsi="Abadi"/>
          <w:sz w:val="16"/>
          <w:szCs w:val="16"/>
        </w:rPr>
        <w:t>.</w:t>
      </w:r>
    </w:p>
  </w:footnote>
  <w:footnote w:id="73">
    <w:p w14:paraId="7F76928E" w14:textId="4EF72912" w:rsidR="000B5D6D" w:rsidRPr="00BD2C73" w:rsidRDefault="000B5D6D">
      <w:pPr>
        <w:pStyle w:val="Textonotapie"/>
        <w:rPr>
          <w:sz w:val="16"/>
          <w:szCs w:val="16"/>
          <w:lang w:val="es-ES"/>
        </w:rPr>
      </w:pPr>
      <w:r w:rsidRPr="00BD2C73">
        <w:rPr>
          <w:rStyle w:val="Refdenotaalpie"/>
          <w:sz w:val="16"/>
          <w:szCs w:val="16"/>
        </w:rPr>
        <w:footnoteRef/>
      </w:r>
      <w:r w:rsidRPr="00BD2C73">
        <w:rPr>
          <w:sz w:val="16"/>
          <w:szCs w:val="16"/>
        </w:rPr>
        <w:t xml:space="preserve"> </w:t>
      </w:r>
      <w:r w:rsidRPr="00BD2C73">
        <w:rPr>
          <w:rFonts w:ascii="Abadi" w:hAnsi="Abadi"/>
          <w:sz w:val="16"/>
          <w:szCs w:val="16"/>
        </w:rPr>
        <w:t>CORTE SUPREMA. ROL 16.687/2017, 4 ENERO 2018. CONSIDERANDO NOVENO</w:t>
      </w:r>
    </w:p>
  </w:footnote>
  <w:footnote w:id="74">
    <w:p w14:paraId="3EDD6680" w14:textId="2E53C1CE" w:rsidR="00E6692E" w:rsidRPr="00BD2C73" w:rsidRDefault="00E6692E" w:rsidP="00906A28">
      <w:pPr>
        <w:pStyle w:val="Textonotapie"/>
        <w:jc w:val="both"/>
        <w:rPr>
          <w:sz w:val="16"/>
          <w:szCs w:val="16"/>
          <w:lang w:val="es-ES"/>
        </w:rPr>
      </w:pPr>
      <w:r w:rsidRPr="00BD2C73">
        <w:rPr>
          <w:rStyle w:val="Refdenotaalpie"/>
          <w:sz w:val="16"/>
          <w:szCs w:val="16"/>
        </w:rPr>
        <w:footnoteRef/>
      </w:r>
      <w:r w:rsidRPr="00BD2C73">
        <w:rPr>
          <w:sz w:val="16"/>
          <w:szCs w:val="16"/>
        </w:rPr>
        <w:t xml:space="preserve"> </w:t>
      </w:r>
      <w:r w:rsidR="00F52B75" w:rsidRPr="00BD2C73">
        <w:rPr>
          <w:rFonts w:ascii="Abadi" w:hAnsi="Abadi"/>
          <w:sz w:val="16"/>
          <w:szCs w:val="16"/>
        </w:rPr>
        <w:t xml:space="preserve">Enrique Barros Bourie. Tratado de Responsabilidad Extracontractual. Editorial Jurídica de Chile, página 923 citado </w:t>
      </w:r>
      <w:r w:rsidR="00906A28" w:rsidRPr="00BD2C73">
        <w:rPr>
          <w:rFonts w:ascii="Abadi" w:hAnsi="Abadi"/>
          <w:sz w:val="16"/>
          <w:szCs w:val="16"/>
        </w:rPr>
        <w:t xml:space="preserve">en SENTENCIA </w:t>
      </w:r>
      <w:r w:rsidR="00F52B75" w:rsidRPr="00BD2C73">
        <w:rPr>
          <w:rFonts w:ascii="Abadi" w:hAnsi="Abadi"/>
          <w:sz w:val="16"/>
          <w:szCs w:val="16"/>
        </w:rPr>
        <w:t>CORTE SUPREMA. ROL 16.687/2017, 4 ENERO 2018.</w:t>
      </w:r>
      <w:r w:rsidR="00906A28" w:rsidRPr="00BD2C73">
        <w:rPr>
          <w:rFonts w:ascii="Abadi" w:hAnsi="Abadi"/>
          <w:sz w:val="16"/>
          <w:szCs w:val="16"/>
        </w:rPr>
        <w:t xml:space="preserve"> </w:t>
      </w:r>
      <w:r w:rsidR="00F52B75" w:rsidRPr="00BD2C73">
        <w:rPr>
          <w:rFonts w:ascii="Abadi" w:hAnsi="Abadi"/>
          <w:sz w:val="16"/>
          <w:szCs w:val="16"/>
        </w:rPr>
        <w:t>CONSIDERANDO NOVENO</w:t>
      </w:r>
    </w:p>
  </w:footnote>
  <w:footnote w:id="75">
    <w:p w14:paraId="31AB78B2" w14:textId="7FAD8D4A" w:rsidR="008F7D35" w:rsidRPr="00F41D1D" w:rsidRDefault="008F7D35" w:rsidP="00016E85">
      <w:pPr>
        <w:pStyle w:val="Textonotapie"/>
        <w:jc w:val="both"/>
        <w:rPr>
          <w:sz w:val="18"/>
          <w:szCs w:val="18"/>
          <w:lang w:val="es-ES"/>
        </w:rPr>
      </w:pPr>
      <w:r w:rsidRPr="00BD2C73">
        <w:rPr>
          <w:rStyle w:val="Refdenotaalpie"/>
          <w:sz w:val="16"/>
          <w:szCs w:val="16"/>
        </w:rPr>
        <w:footnoteRef/>
      </w:r>
      <w:r w:rsidRPr="00BD2C73">
        <w:rPr>
          <w:sz w:val="16"/>
          <w:szCs w:val="16"/>
        </w:rPr>
        <w:t xml:space="preserve"> </w:t>
      </w:r>
      <w:r w:rsidRPr="00BD2C73">
        <w:rPr>
          <w:rFonts w:ascii="Abadi" w:hAnsi="Abadi"/>
          <w:sz w:val="16"/>
          <w:szCs w:val="16"/>
        </w:rPr>
        <w:t>Barrientos Zamor</w:t>
      </w:r>
      <w:r w:rsidR="00617EB6">
        <w:rPr>
          <w:rFonts w:ascii="Abadi" w:hAnsi="Abadi"/>
          <w:sz w:val="16"/>
          <w:szCs w:val="16"/>
        </w:rPr>
        <w:t>á</w:t>
      </w:r>
      <w:r w:rsidRPr="00BD2C73">
        <w:rPr>
          <w:rFonts w:ascii="Abadi" w:hAnsi="Abadi"/>
          <w:sz w:val="16"/>
          <w:szCs w:val="16"/>
        </w:rPr>
        <w:t>n, Marcelo: DEL DAÑO MORAL AL DAÑO EXTRAPATRIMONIAL: LA SUPERACIÓN DEL PRETIUM DOLORIS</w:t>
      </w:r>
      <w:r w:rsidRPr="00BD2C73">
        <w:rPr>
          <w:rFonts w:ascii="Abadi" w:hAnsi="Abadi"/>
          <w:sz w:val="16"/>
          <w:szCs w:val="16"/>
          <w:lang w:val="es-ES"/>
        </w:rPr>
        <w:t xml:space="preserve"> </w:t>
      </w:r>
      <w:r w:rsidRPr="00BD2C73">
        <w:rPr>
          <w:rFonts w:ascii="Abadi" w:hAnsi="Abadi"/>
          <w:sz w:val="16"/>
          <w:szCs w:val="16"/>
        </w:rPr>
        <w:t>Revista Chilena de Derecho, vol. 35 Nº1, pp. 85-106 [2008]</w:t>
      </w:r>
    </w:p>
  </w:footnote>
  <w:footnote w:id="76">
    <w:p w14:paraId="02268C1E" w14:textId="3CE611D3" w:rsidR="00016E85" w:rsidRPr="00BD2C73" w:rsidRDefault="00016E85">
      <w:pPr>
        <w:pStyle w:val="Textonotapie"/>
        <w:rPr>
          <w:sz w:val="16"/>
          <w:szCs w:val="16"/>
          <w:lang w:val="es-ES"/>
        </w:rPr>
      </w:pPr>
      <w:r w:rsidRPr="00F41D1D">
        <w:rPr>
          <w:rStyle w:val="Refdenotaalpie"/>
          <w:sz w:val="18"/>
          <w:szCs w:val="18"/>
        </w:rPr>
        <w:footnoteRef/>
      </w:r>
      <w:r w:rsidRPr="00F41D1D">
        <w:rPr>
          <w:sz w:val="18"/>
          <w:szCs w:val="18"/>
        </w:rPr>
        <w:t xml:space="preserve"> </w:t>
      </w:r>
      <w:r w:rsidR="00E75E4B" w:rsidRPr="00BD2C73">
        <w:rPr>
          <w:rFonts w:ascii="Abadi" w:hAnsi="Abadi"/>
          <w:sz w:val="16"/>
          <w:szCs w:val="16"/>
        </w:rPr>
        <w:t>Ibidem</w:t>
      </w:r>
    </w:p>
  </w:footnote>
  <w:footnote w:id="77">
    <w:p w14:paraId="25A8A50A" w14:textId="18266ECD" w:rsidR="00E75E4B" w:rsidRPr="00BD2C73" w:rsidRDefault="00E75E4B" w:rsidP="003D08F0">
      <w:pPr>
        <w:pStyle w:val="Textonotapie"/>
        <w:jc w:val="both"/>
        <w:rPr>
          <w:sz w:val="16"/>
          <w:szCs w:val="16"/>
          <w:lang w:val="es-ES"/>
        </w:rPr>
      </w:pPr>
      <w:r w:rsidRPr="00BD2C73">
        <w:rPr>
          <w:rStyle w:val="Refdenotaalpie"/>
          <w:sz w:val="16"/>
          <w:szCs w:val="16"/>
        </w:rPr>
        <w:footnoteRef/>
      </w:r>
      <w:r w:rsidRPr="00BD2C73">
        <w:rPr>
          <w:sz w:val="16"/>
          <w:szCs w:val="16"/>
        </w:rPr>
        <w:t xml:space="preserve"> </w:t>
      </w:r>
      <w:r w:rsidRPr="00BD2C73">
        <w:rPr>
          <w:rFonts w:ascii="Abadi" w:hAnsi="Abadi"/>
          <w:color w:val="000000"/>
          <w:sz w:val="16"/>
          <w:szCs w:val="16"/>
          <w:shd w:val="clear" w:color="auto" w:fill="FFFFFF"/>
        </w:rPr>
        <w:t>Barros, Enrique (2006):</w:t>
      </w:r>
      <w:r w:rsidRPr="00BD2C73">
        <w:rPr>
          <w:rFonts w:ascii="Abadi" w:hAnsi="Abadi"/>
          <w:i/>
          <w:iCs/>
          <w:color w:val="000000"/>
          <w:sz w:val="16"/>
          <w:szCs w:val="16"/>
          <w:shd w:val="clear" w:color="auto" w:fill="FFFFFF"/>
        </w:rPr>
        <w:t> </w:t>
      </w:r>
      <w:r w:rsidRPr="00BD2C73">
        <w:rPr>
          <w:rStyle w:val="nfasis"/>
          <w:rFonts w:ascii="Abadi" w:hAnsi="Abadi"/>
          <w:i w:val="0"/>
          <w:iCs w:val="0"/>
          <w:color w:val="000000"/>
          <w:sz w:val="16"/>
          <w:szCs w:val="16"/>
          <w:shd w:val="clear" w:color="auto" w:fill="FFFFFF"/>
        </w:rPr>
        <w:t xml:space="preserve">Tratado de Responsabilidad </w:t>
      </w:r>
      <w:r w:rsidR="00617EB6" w:rsidRPr="00BD2C73">
        <w:rPr>
          <w:rStyle w:val="nfasis"/>
          <w:rFonts w:ascii="Abadi" w:hAnsi="Abadi"/>
          <w:i w:val="0"/>
          <w:iCs w:val="0"/>
          <w:color w:val="000000"/>
          <w:sz w:val="16"/>
          <w:szCs w:val="16"/>
          <w:shd w:val="clear" w:color="auto" w:fill="FFFFFF"/>
        </w:rPr>
        <w:t>Extracontractual</w:t>
      </w:r>
      <w:r w:rsidR="00617EB6" w:rsidRPr="00BD2C73">
        <w:rPr>
          <w:rFonts w:ascii="Abadi" w:hAnsi="Abadi"/>
          <w:i/>
          <w:iCs/>
          <w:color w:val="000000"/>
          <w:sz w:val="16"/>
          <w:szCs w:val="16"/>
          <w:shd w:val="clear" w:color="auto" w:fill="FFFFFF"/>
        </w:rPr>
        <w:t>. Santiago</w:t>
      </w:r>
      <w:r w:rsidRPr="00BD2C73">
        <w:rPr>
          <w:rFonts w:ascii="Abadi" w:hAnsi="Abadi"/>
          <w:color w:val="000000"/>
          <w:sz w:val="16"/>
          <w:szCs w:val="16"/>
          <w:shd w:val="clear" w:color="auto" w:fill="FFFFFF"/>
        </w:rPr>
        <w:t>, Editorial Jurídica de Chile</w:t>
      </w:r>
      <w:r w:rsidR="003D08F0" w:rsidRPr="00BD2C73">
        <w:rPr>
          <w:rFonts w:ascii="Abadi" w:hAnsi="Abadi"/>
          <w:color w:val="000000"/>
          <w:sz w:val="16"/>
          <w:szCs w:val="16"/>
          <w:shd w:val="clear" w:color="auto" w:fill="FFFFFF"/>
        </w:rPr>
        <w:t>.</w:t>
      </w:r>
      <w:r w:rsidRPr="00BD2C73">
        <w:rPr>
          <w:rFonts w:ascii="Abadi" w:hAnsi="Abadi"/>
          <w:color w:val="000000"/>
          <w:sz w:val="16"/>
          <w:szCs w:val="16"/>
          <w:shd w:val="clear" w:color="auto" w:fill="FFFFFF"/>
        </w:rPr>
        <w:t>p</w:t>
      </w:r>
      <w:r w:rsidR="003D08F0" w:rsidRPr="00BD2C73">
        <w:rPr>
          <w:rFonts w:ascii="Abadi" w:hAnsi="Abadi"/>
          <w:color w:val="000000"/>
          <w:sz w:val="16"/>
          <w:szCs w:val="16"/>
          <w:shd w:val="clear" w:color="auto" w:fill="FFFFFF"/>
        </w:rPr>
        <w:t>á</w:t>
      </w:r>
      <w:r w:rsidRPr="00BD2C73">
        <w:rPr>
          <w:rFonts w:ascii="Abadi" w:hAnsi="Abadi"/>
          <w:color w:val="000000"/>
          <w:sz w:val="16"/>
          <w:szCs w:val="16"/>
          <w:shd w:val="clear" w:color="auto" w:fill="FFFFFF"/>
        </w:rPr>
        <w:t>g.290.</w:t>
      </w:r>
    </w:p>
  </w:footnote>
  <w:footnote w:id="78">
    <w:p w14:paraId="24B2B7E8" w14:textId="758D9F3D" w:rsidR="00191C9F" w:rsidRPr="00BD2C73" w:rsidRDefault="00191C9F" w:rsidP="00191C9F">
      <w:pPr>
        <w:pStyle w:val="Textonotapie"/>
        <w:jc w:val="both"/>
        <w:rPr>
          <w:sz w:val="16"/>
          <w:szCs w:val="16"/>
          <w:lang w:val="es-ES"/>
        </w:rPr>
      </w:pPr>
      <w:r w:rsidRPr="00BD2C73">
        <w:rPr>
          <w:rStyle w:val="Refdenotaalpie"/>
          <w:sz w:val="16"/>
          <w:szCs w:val="16"/>
        </w:rPr>
        <w:footnoteRef/>
      </w:r>
      <w:r w:rsidRPr="00BD2C73">
        <w:rPr>
          <w:sz w:val="16"/>
          <w:szCs w:val="16"/>
        </w:rPr>
        <w:t xml:space="preserve"> </w:t>
      </w:r>
      <w:r w:rsidRPr="00BD2C73">
        <w:rPr>
          <w:rFonts w:ascii="Abadi" w:hAnsi="Abadi"/>
          <w:sz w:val="16"/>
          <w:szCs w:val="16"/>
        </w:rPr>
        <w:t>En "El Daño Moral", tomo I, Editorial Jurídica de Chile, 2002, páginas 83 y 84” citado e</w:t>
      </w:r>
      <w:r w:rsidR="0053272B" w:rsidRPr="00BD2C73">
        <w:rPr>
          <w:rFonts w:ascii="Abadi" w:hAnsi="Abadi"/>
          <w:sz w:val="16"/>
          <w:szCs w:val="16"/>
        </w:rPr>
        <w:t>n</w:t>
      </w:r>
      <w:r w:rsidRPr="00BD2C73">
        <w:rPr>
          <w:rFonts w:ascii="Abadi" w:hAnsi="Abadi"/>
          <w:sz w:val="16"/>
          <w:szCs w:val="16"/>
        </w:rPr>
        <w:t xml:space="preserve"> CORTE SUPREMA. ROL 33.865/2017, 24 ENERO 2018. SENTENCIA DE REEMPLAZO, CONSIDERANDO 10</w:t>
      </w:r>
      <w:r w:rsidR="00617EB6" w:rsidRPr="00BD2C73">
        <w:rPr>
          <w:rFonts w:ascii="Abadi" w:hAnsi="Abadi"/>
          <w:sz w:val="16"/>
          <w:szCs w:val="16"/>
        </w:rPr>
        <w:t>°, CORTE</w:t>
      </w:r>
      <w:r w:rsidRPr="00BD2C73">
        <w:rPr>
          <w:rFonts w:ascii="Abadi" w:hAnsi="Abadi"/>
          <w:sz w:val="16"/>
          <w:szCs w:val="16"/>
        </w:rPr>
        <w:t xml:space="preserve"> SUPREMA. ROL 3.958/2017, 12 MARZO 2018. SENTENCIA DE REEMPLAZO, CONSIDERANDO 9°</w:t>
      </w:r>
      <w:r w:rsidR="0053272B" w:rsidRPr="00BD2C73">
        <w:rPr>
          <w:rFonts w:ascii="Abadi" w:hAnsi="Abadi"/>
          <w:sz w:val="16"/>
          <w:szCs w:val="16"/>
        </w:rPr>
        <w:t>;</w:t>
      </w:r>
      <w:r w:rsidRPr="00BD2C73">
        <w:rPr>
          <w:rFonts w:ascii="Abadi" w:hAnsi="Abadi"/>
          <w:sz w:val="16"/>
          <w:szCs w:val="16"/>
        </w:rPr>
        <w:t xml:space="preserve"> CORTE SUPREMA. ROL 37.438/2017, 13 JUNIO 2018. SENTENCIA DE REEMPLAZO, CONSIDERANDO 5</w:t>
      </w:r>
      <w:r w:rsidR="00617EB6" w:rsidRPr="00BD2C73">
        <w:rPr>
          <w:rFonts w:ascii="Abadi" w:hAnsi="Abadi"/>
          <w:sz w:val="16"/>
          <w:szCs w:val="16"/>
        </w:rPr>
        <w:t>°, CORTE</w:t>
      </w:r>
      <w:r w:rsidRPr="00BD2C73">
        <w:rPr>
          <w:rFonts w:ascii="Abadi" w:hAnsi="Abadi"/>
          <w:sz w:val="16"/>
          <w:szCs w:val="16"/>
        </w:rPr>
        <w:t xml:space="preserve"> SUPREMA. ROL 18.253/2017, 18 JUNIO 2018. SENTENCIA DE REEMPLAZO, CONSIDERANDO 8°</w:t>
      </w:r>
      <w:r w:rsidR="0053272B" w:rsidRPr="00BD2C73">
        <w:rPr>
          <w:rFonts w:ascii="Abadi" w:hAnsi="Abadi"/>
          <w:sz w:val="16"/>
          <w:szCs w:val="16"/>
        </w:rPr>
        <w:t>:</w:t>
      </w:r>
      <w:r w:rsidRPr="00BD2C73">
        <w:rPr>
          <w:rFonts w:ascii="Abadi" w:hAnsi="Abadi"/>
          <w:sz w:val="16"/>
          <w:szCs w:val="16"/>
        </w:rPr>
        <w:t xml:space="preserve"> CORTE SUPREMA. ROL 43.707/2017, 21 AGOSTO 2018. SENTENCIA DE REEMPLAZO, CONSIDERANDO 11°</w:t>
      </w:r>
      <w:r w:rsidR="0053272B" w:rsidRPr="00BD2C73">
        <w:rPr>
          <w:rFonts w:ascii="Abadi" w:hAnsi="Abadi"/>
          <w:sz w:val="16"/>
          <w:szCs w:val="16"/>
        </w:rPr>
        <w:t>.</w:t>
      </w:r>
    </w:p>
  </w:footnote>
  <w:footnote w:id="79">
    <w:p w14:paraId="0A696425" w14:textId="3682F300" w:rsidR="00362F1F" w:rsidRPr="00BD2C73" w:rsidRDefault="00362F1F" w:rsidP="00362F1F">
      <w:pPr>
        <w:pStyle w:val="Textonotapie"/>
        <w:jc w:val="both"/>
        <w:rPr>
          <w:sz w:val="16"/>
          <w:szCs w:val="16"/>
          <w:lang w:val="es-ES"/>
        </w:rPr>
      </w:pPr>
      <w:r w:rsidRPr="00BD2C73">
        <w:rPr>
          <w:rStyle w:val="Refdenotaalpie"/>
          <w:sz w:val="16"/>
          <w:szCs w:val="16"/>
        </w:rPr>
        <w:footnoteRef/>
      </w:r>
      <w:r w:rsidRPr="00BD2C73">
        <w:rPr>
          <w:sz w:val="16"/>
          <w:szCs w:val="16"/>
        </w:rPr>
        <w:t xml:space="preserve"> </w:t>
      </w:r>
      <w:r w:rsidRPr="00BD2C73">
        <w:rPr>
          <w:rFonts w:ascii="Abadi" w:hAnsi="Abadi"/>
          <w:sz w:val="16"/>
          <w:szCs w:val="16"/>
        </w:rPr>
        <w:t>CORTE SUPREMA. ROL 4.512/2018, 15 MAYO 2018. CONSIDERANDO DÉCIMO CUARTO; CORTE SUPREMA. ROL 43.002/2017, 22 MAYO 2018. SENTENCIA DE REEMPLAZO, CONSIDERANDO 7</w:t>
      </w:r>
      <w:r w:rsidR="00617EB6" w:rsidRPr="00BD2C73">
        <w:rPr>
          <w:rFonts w:ascii="Abadi" w:hAnsi="Abadi"/>
          <w:sz w:val="16"/>
          <w:szCs w:val="16"/>
        </w:rPr>
        <w:t>°; CORTE</w:t>
      </w:r>
      <w:r w:rsidRPr="00BD2C73">
        <w:rPr>
          <w:rFonts w:ascii="Abadi" w:hAnsi="Abadi"/>
          <w:sz w:val="16"/>
          <w:szCs w:val="16"/>
        </w:rPr>
        <w:t xml:space="preserve"> SUPREMA. ROL 43.707/2017, 21 AGOSTO 2018. SENTENCIA DE REEMPLAZO, CONSIDERANDO 8°</w:t>
      </w:r>
    </w:p>
  </w:footnote>
  <w:footnote w:id="80">
    <w:p w14:paraId="2427E1C6" w14:textId="1BA2282C" w:rsidR="00B420AE" w:rsidRPr="008B2334" w:rsidRDefault="00B420AE" w:rsidP="008B2334">
      <w:pPr>
        <w:pStyle w:val="Prrafodelista"/>
        <w:shd w:val="clear" w:color="auto" w:fill="FFFFFF"/>
        <w:spacing w:after="0" w:line="240" w:lineRule="auto"/>
        <w:ind w:left="0"/>
        <w:jc w:val="both"/>
        <w:rPr>
          <w:rFonts w:ascii="Abadi" w:hAnsi="Abadi"/>
          <w:sz w:val="18"/>
          <w:szCs w:val="18"/>
        </w:rPr>
      </w:pPr>
      <w:r w:rsidRPr="00BD2C73">
        <w:rPr>
          <w:rStyle w:val="Refdenotaalpie"/>
          <w:sz w:val="16"/>
          <w:szCs w:val="16"/>
        </w:rPr>
        <w:footnoteRef/>
      </w:r>
      <w:r w:rsidRPr="00BD2C73">
        <w:rPr>
          <w:sz w:val="16"/>
          <w:szCs w:val="16"/>
        </w:rPr>
        <w:t xml:space="preserve"> </w:t>
      </w:r>
      <w:r w:rsidRPr="00BD2C73">
        <w:rPr>
          <w:rFonts w:ascii="Abadi" w:hAnsi="Abadi"/>
          <w:sz w:val="16"/>
          <w:szCs w:val="16"/>
        </w:rPr>
        <w:t xml:space="preserve">CORTE SUPREMA Rol Nº 679- 2002, Gaceta Jurídica Nº 271, pág. </w:t>
      </w:r>
      <w:r w:rsidR="00617EB6" w:rsidRPr="00BD2C73">
        <w:rPr>
          <w:rFonts w:ascii="Abadi" w:hAnsi="Abadi"/>
          <w:sz w:val="16"/>
          <w:szCs w:val="16"/>
        </w:rPr>
        <w:t>96; CORTE</w:t>
      </w:r>
      <w:r w:rsidRPr="00BD2C73">
        <w:rPr>
          <w:rFonts w:ascii="Abadi" w:hAnsi="Abadi"/>
          <w:sz w:val="16"/>
          <w:szCs w:val="16"/>
        </w:rPr>
        <w:t xml:space="preserve"> SUPREMA. ROL 2.378/2018, 16 MAYO 2018. CONSIDERANDO DÉCIMO SEXTO.</w:t>
      </w:r>
    </w:p>
  </w:footnote>
  <w:footnote w:id="81">
    <w:p w14:paraId="50487730" w14:textId="433CE6A9" w:rsidR="000E3548" w:rsidRPr="00BD2C73" w:rsidRDefault="000E3548" w:rsidP="000E3548">
      <w:pPr>
        <w:pStyle w:val="Textonotapie"/>
        <w:jc w:val="both"/>
        <w:rPr>
          <w:sz w:val="16"/>
          <w:szCs w:val="16"/>
          <w:lang w:val="es-ES"/>
        </w:rPr>
      </w:pPr>
      <w:r>
        <w:rPr>
          <w:rStyle w:val="Refdenotaalpie"/>
        </w:rPr>
        <w:footnoteRef/>
      </w:r>
      <w:r>
        <w:t xml:space="preserve"> </w:t>
      </w:r>
      <w:r w:rsidRPr="00BD2C73">
        <w:rPr>
          <w:rFonts w:ascii="Abadi" w:hAnsi="Abadi"/>
          <w:sz w:val="16"/>
          <w:szCs w:val="16"/>
        </w:rPr>
        <w:t>Tapia Rodríguez, Mauricio: “Pérdida de una chance: ¿un perjuicio indemnizable en Chile?”, en “Estudios de Derecho Civil VII”. Jornadas Nacionales de Derecho Civil. Viña del Mar, 2011. Fabián Elorriaga de Bonis (Coordinador). Legal Publishing Chile, pág. 650.</w:t>
      </w:r>
    </w:p>
  </w:footnote>
  <w:footnote w:id="82">
    <w:p w14:paraId="049056A3" w14:textId="11723827" w:rsidR="00E440C3" w:rsidRPr="00BD2C73" w:rsidRDefault="00E440C3" w:rsidP="00DD0F37">
      <w:pPr>
        <w:spacing w:after="0"/>
        <w:jc w:val="both"/>
        <w:rPr>
          <w:rFonts w:ascii="Abadi" w:hAnsi="Abadi"/>
          <w:sz w:val="16"/>
          <w:szCs w:val="16"/>
        </w:rPr>
      </w:pPr>
      <w:r w:rsidRPr="00BD2C73">
        <w:rPr>
          <w:rStyle w:val="Refdenotaalpie"/>
          <w:sz w:val="16"/>
          <w:szCs w:val="16"/>
        </w:rPr>
        <w:footnoteRef/>
      </w:r>
      <w:r w:rsidRPr="00BD2C73">
        <w:rPr>
          <w:sz w:val="16"/>
          <w:szCs w:val="16"/>
        </w:rPr>
        <w:t xml:space="preserve"> </w:t>
      </w:r>
      <w:r w:rsidR="00310C5F" w:rsidRPr="00BD2C73">
        <w:rPr>
          <w:rFonts w:ascii="Abadi" w:hAnsi="Abadi"/>
          <w:sz w:val="16"/>
          <w:szCs w:val="16"/>
        </w:rPr>
        <w:t>CORTE SUPREMA. ROL 5.094/2017, 17 ENERO 2018. SENTENCIA DE REEMPLAZO, LIT</w:t>
      </w:r>
      <w:r w:rsidR="00DD0F37" w:rsidRPr="00BD2C73">
        <w:rPr>
          <w:rFonts w:ascii="Abadi" w:hAnsi="Abadi"/>
          <w:sz w:val="16"/>
          <w:szCs w:val="16"/>
        </w:rPr>
        <w:t>E</w:t>
      </w:r>
      <w:r w:rsidR="00310C5F" w:rsidRPr="00BD2C73">
        <w:rPr>
          <w:rFonts w:ascii="Abadi" w:hAnsi="Abadi"/>
          <w:sz w:val="16"/>
          <w:szCs w:val="16"/>
        </w:rPr>
        <w:t xml:space="preserve">RAL </w:t>
      </w:r>
      <w:r w:rsidR="00617EB6" w:rsidRPr="00BD2C73">
        <w:rPr>
          <w:rFonts w:ascii="Abadi" w:hAnsi="Abadi"/>
          <w:sz w:val="16"/>
          <w:szCs w:val="16"/>
        </w:rPr>
        <w:t>T; CORTE</w:t>
      </w:r>
      <w:r w:rsidR="00310C5F" w:rsidRPr="00BD2C73">
        <w:rPr>
          <w:rFonts w:ascii="Abadi" w:hAnsi="Abadi"/>
          <w:sz w:val="16"/>
          <w:szCs w:val="16"/>
        </w:rPr>
        <w:t xml:space="preserve"> SUPREMA. ROL 18.225/2017, 17 ABRIL 2018. SENTENCIA DE REEMPLAZO, LITERAL T, en las que </w:t>
      </w:r>
      <w:r w:rsidR="00DD0F37" w:rsidRPr="00BD2C73">
        <w:rPr>
          <w:rFonts w:ascii="Abadi" w:hAnsi="Abadi"/>
          <w:sz w:val="16"/>
          <w:szCs w:val="16"/>
        </w:rPr>
        <w:t xml:space="preserve">refiere a Chabas, </w:t>
      </w:r>
      <w:r w:rsidR="00617EB6" w:rsidRPr="00BD2C73">
        <w:rPr>
          <w:rFonts w:ascii="Abadi" w:hAnsi="Abadi"/>
          <w:sz w:val="16"/>
          <w:szCs w:val="16"/>
        </w:rPr>
        <w:t>François</w:t>
      </w:r>
      <w:r w:rsidR="00DD0F37" w:rsidRPr="00BD2C73">
        <w:rPr>
          <w:rFonts w:ascii="Abadi" w:hAnsi="Abadi"/>
          <w:sz w:val="16"/>
          <w:szCs w:val="16"/>
        </w:rPr>
        <w:t>: “Cien años de responsabilidad civil en Francia”, Van Dieren Editeur, Paris 2004, pág. 76. Citado por Camilo Arancibia Hurtado, “Recepción de la pérdida de chance en Latinoamérica: el caso argentino”, en “Actas del Congreso Internacional de Derecho en homenaje al centenario de la Escuela de Derecho de la Universidad de Valparaíso”, pág. 156.</w:t>
      </w:r>
    </w:p>
  </w:footnote>
  <w:footnote w:id="83">
    <w:p w14:paraId="25A178D7" w14:textId="7AEFCC26" w:rsidR="00310C5F" w:rsidRPr="00BD2C73" w:rsidRDefault="00310C5F" w:rsidP="00DD0F37">
      <w:pPr>
        <w:pStyle w:val="Textonotapie"/>
        <w:rPr>
          <w:sz w:val="16"/>
          <w:szCs w:val="16"/>
          <w:lang w:val="es-ES"/>
        </w:rPr>
      </w:pPr>
      <w:r w:rsidRPr="00BD2C73">
        <w:rPr>
          <w:rStyle w:val="Refdenotaalpie"/>
          <w:sz w:val="16"/>
          <w:szCs w:val="16"/>
        </w:rPr>
        <w:footnoteRef/>
      </w:r>
      <w:r w:rsidRPr="00BD2C73">
        <w:rPr>
          <w:sz w:val="16"/>
          <w:szCs w:val="16"/>
        </w:rPr>
        <w:t xml:space="preserve"> </w:t>
      </w:r>
      <w:r w:rsidR="00DD0F37" w:rsidRPr="00BD2C73">
        <w:rPr>
          <w:rFonts w:ascii="Abadi" w:hAnsi="Abadi"/>
          <w:sz w:val="16"/>
          <w:szCs w:val="16"/>
        </w:rPr>
        <w:t>Ibidem</w:t>
      </w:r>
    </w:p>
  </w:footnote>
  <w:footnote w:id="84">
    <w:p w14:paraId="7DA4FC29" w14:textId="27AF940C" w:rsidR="003B4FEB" w:rsidRPr="00BD2C73" w:rsidRDefault="003B4FEB" w:rsidP="00315D8E">
      <w:pPr>
        <w:pStyle w:val="Prrafodelista"/>
        <w:shd w:val="clear" w:color="auto" w:fill="FFFFFF"/>
        <w:spacing w:after="0" w:line="240" w:lineRule="auto"/>
        <w:ind w:left="0"/>
        <w:jc w:val="both"/>
        <w:rPr>
          <w:rFonts w:ascii="Abadi" w:hAnsi="Abadi"/>
          <w:sz w:val="16"/>
          <w:szCs w:val="16"/>
        </w:rPr>
      </w:pPr>
      <w:r w:rsidRPr="00BD2C73">
        <w:rPr>
          <w:rStyle w:val="Refdenotaalpie"/>
          <w:sz w:val="16"/>
          <w:szCs w:val="16"/>
        </w:rPr>
        <w:footnoteRef/>
      </w:r>
      <w:r w:rsidRPr="00BD2C73">
        <w:rPr>
          <w:sz w:val="16"/>
          <w:szCs w:val="16"/>
        </w:rPr>
        <w:t xml:space="preserve"> </w:t>
      </w:r>
      <w:r w:rsidRPr="00BD2C73">
        <w:rPr>
          <w:rFonts w:ascii="Abadi" w:hAnsi="Abadi"/>
          <w:sz w:val="16"/>
          <w:szCs w:val="16"/>
        </w:rPr>
        <w:t xml:space="preserve">Represas Félix Trigo: Pérdida de chance. Editorial Astrea, Buenos Aires, 2008. Pág. 25, citado en CORTE SUPREMA. ROL 5.094/2017, 17 ENERO 2018. SENTENCIA DE REEMPLAZO, LITERAL </w:t>
      </w:r>
      <w:r w:rsidR="00617EB6" w:rsidRPr="00BD2C73">
        <w:rPr>
          <w:rFonts w:ascii="Abadi" w:hAnsi="Abadi"/>
          <w:sz w:val="16"/>
          <w:szCs w:val="16"/>
        </w:rPr>
        <w:t>T; CORTE</w:t>
      </w:r>
      <w:r w:rsidRPr="00BD2C73">
        <w:rPr>
          <w:rFonts w:ascii="Abadi" w:hAnsi="Abadi"/>
          <w:sz w:val="16"/>
          <w:szCs w:val="16"/>
        </w:rPr>
        <w:t xml:space="preserve"> SUPREMA. ROL 21.599/2017, 27 FEBRERO 2018. SENTENCIA DE REEMPLAZO, CONSIDERANDO 12</w:t>
      </w:r>
      <w:r w:rsidR="00617EB6" w:rsidRPr="00BD2C73">
        <w:rPr>
          <w:rFonts w:ascii="Abadi" w:hAnsi="Abadi"/>
          <w:sz w:val="16"/>
          <w:szCs w:val="16"/>
        </w:rPr>
        <w:t>°; CORTE</w:t>
      </w:r>
      <w:r w:rsidRPr="00BD2C73">
        <w:rPr>
          <w:rFonts w:ascii="Abadi" w:hAnsi="Abadi"/>
          <w:sz w:val="16"/>
          <w:szCs w:val="16"/>
        </w:rPr>
        <w:t xml:space="preserve"> SUPREMA. ROL 18.225/2017, 17 ABRIL 2018. SENTENCIA DE REEMPLAZO, LITERAL </w:t>
      </w:r>
      <w:r w:rsidR="00617EB6" w:rsidRPr="00BD2C73">
        <w:rPr>
          <w:rFonts w:ascii="Abadi" w:hAnsi="Abadi"/>
          <w:sz w:val="16"/>
          <w:szCs w:val="16"/>
        </w:rPr>
        <w:t>T;</w:t>
      </w:r>
      <w:r w:rsidRPr="00BD2C73">
        <w:rPr>
          <w:rFonts w:ascii="Abadi" w:hAnsi="Abadi"/>
          <w:sz w:val="16"/>
          <w:szCs w:val="16"/>
        </w:rPr>
        <w:t xml:space="preserve"> CORTE SUPREMA. ROL 18.253/2017, 18 JUNIO 2018. PREVENCIÓN MINISTRA SRA. EGNEM, NUMERAL 5</w:t>
      </w:r>
      <w:r w:rsidR="00617EB6" w:rsidRPr="00BD2C73">
        <w:rPr>
          <w:rFonts w:ascii="Abadi" w:hAnsi="Abadi"/>
          <w:sz w:val="16"/>
          <w:szCs w:val="16"/>
        </w:rPr>
        <w:t>°; CORTE</w:t>
      </w:r>
      <w:r w:rsidRPr="00BD2C73">
        <w:rPr>
          <w:rFonts w:ascii="Abadi" w:hAnsi="Abadi"/>
          <w:sz w:val="16"/>
          <w:szCs w:val="16"/>
        </w:rPr>
        <w:t xml:space="preserve"> SUPREMA. ROL 11.761/2017, 12 JULIO 2018. SENTENCIA DE REEMPLAZO, CONSIDERANDO 21° CORTE SUPREMA. ROL 30.264/2017, 25 JULIO 2018. SENTENCIA DE REEMPLAZO, CONSIDERANDOS 7°; CORTE SUPREMA. ROL 34.630/2017, 1° MARZO 2018. VOTO DISIDENTE MINISTRA SRA. EGNEM Y ABOGADO INTEGRANTE SR. RODRÍGUEZ, NUMERAL 10 </w:t>
      </w:r>
    </w:p>
  </w:footnote>
  <w:footnote w:id="85">
    <w:p w14:paraId="715F5F71" w14:textId="60418652" w:rsidR="00EE7715" w:rsidRPr="00BD2C73" w:rsidRDefault="00EE7715" w:rsidP="009A66BC">
      <w:pPr>
        <w:pStyle w:val="Textonotapie"/>
        <w:jc w:val="both"/>
        <w:rPr>
          <w:rFonts w:ascii="Abadi" w:hAnsi="Abadi"/>
          <w:sz w:val="16"/>
          <w:szCs w:val="16"/>
        </w:rPr>
      </w:pPr>
      <w:r w:rsidRPr="00BD2C73">
        <w:rPr>
          <w:rStyle w:val="Refdenotaalpie"/>
          <w:sz w:val="16"/>
          <w:szCs w:val="16"/>
        </w:rPr>
        <w:footnoteRef/>
      </w:r>
      <w:r w:rsidRPr="00BD2C73">
        <w:rPr>
          <w:sz w:val="16"/>
          <w:szCs w:val="16"/>
        </w:rPr>
        <w:t xml:space="preserve"> </w:t>
      </w:r>
      <w:r w:rsidR="009A66BC" w:rsidRPr="00BD2C73">
        <w:rPr>
          <w:rFonts w:ascii="Abadi" w:hAnsi="Abadi"/>
          <w:sz w:val="16"/>
          <w:szCs w:val="16"/>
        </w:rPr>
        <w:t>CORTE SUPREMA. ROL 21.599/2017, 27 FEBRERO 2018. SENTENCIA DE REEMPLAZO, CONSIDERANDO 15 CORTE SUPREMA. ROL 30.264/2017, 25 JULIO 2018. SENTENCIA DE REEMPLAZO, CONSIDERANDOS 13 CORTE SUPREMA. ROL 34.630/2017, 1° MARZO 2018. VOTO DISIDENTE MINISTRA SRA. EGNEM Y ABOGADO INTEGRANTE SR. RODRÍGUEZ, NUMERAL 13</w:t>
      </w:r>
    </w:p>
    <w:p w14:paraId="4CCAE230" w14:textId="07213FFF" w:rsidR="00F41D1D" w:rsidRPr="00BD2C73" w:rsidRDefault="006311CB" w:rsidP="009A66BC">
      <w:pPr>
        <w:pStyle w:val="Textonotapie"/>
        <w:jc w:val="both"/>
        <w:rPr>
          <w:sz w:val="16"/>
          <w:szCs w:val="16"/>
          <w:lang w:val="es-ES"/>
        </w:rPr>
      </w:pPr>
      <w:r w:rsidRPr="00BD2C73">
        <w:rPr>
          <w:rFonts w:ascii="Abadi" w:hAnsi="Abadi"/>
          <w:sz w:val="16"/>
          <w:szCs w:val="16"/>
        </w:rPr>
        <w:t>*Articulo derogado</w:t>
      </w:r>
    </w:p>
  </w:footnote>
  <w:footnote w:id="86">
    <w:p w14:paraId="1466C3C3" w14:textId="77BBE069" w:rsidR="007D6801" w:rsidRDefault="007D6801" w:rsidP="007D6801">
      <w:pPr>
        <w:pStyle w:val="Textonotapie"/>
        <w:jc w:val="both"/>
        <w:rPr>
          <w:lang w:val="es-ES"/>
        </w:rPr>
      </w:pPr>
      <w:r w:rsidRPr="00701BA9">
        <w:rPr>
          <w:rStyle w:val="Refdenotaalpie"/>
          <w:sz w:val="18"/>
          <w:szCs w:val="18"/>
        </w:rPr>
        <w:footnoteRef/>
      </w:r>
      <w:r w:rsidRPr="00701BA9">
        <w:rPr>
          <w:sz w:val="18"/>
          <w:szCs w:val="18"/>
        </w:rPr>
        <w:t xml:space="preserve"> </w:t>
      </w:r>
      <w:r w:rsidRPr="006311CB">
        <w:rPr>
          <w:rFonts w:ascii="Abadi" w:hAnsi="Abadi" w:cs="Courier New"/>
          <w:color w:val="000000"/>
          <w:sz w:val="18"/>
          <w:szCs w:val="18"/>
          <w:shd w:val="clear" w:color="auto" w:fill="FFFFFF"/>
        </w:rPr>
        <w:t>Artículo 4</w:t>
      </w:r>
      <w:r w:rsidR="00617EB6" w:rsidRPr="006311CB">
        <w:rPr>
          <w:rFonts w:ascii="Abadi" w:hAnsi="Abadi" w:cs="Courier New"/>
          <w:color w:val="000000"/>
          <w:sz w:val="18"/>
          <w:szCs w:val="18"/>
          <w:shd w:val="clear" w:color="auto" w:fill="FFFFFF"/>
        </w:rPr>
        <w:t>°. -</w:t>
      </w:r>
      <w:r w:rsidRPr="006311CB">
        <w:rPr>
          <w:rFonts w:ascii="Abadi" w:hAnsi="Abadi" w:cs="Courier New"/>
          <w:color w:val="000000"/>
          <w:sz w:val="18"/>
          <w:szCs w:val="18"/>
          <w:shd w:val="clear" w:color="auto" w:fill="FFFFFF"/>
        </w:rPr>
        <w:t xml:space="preserve"> El Estado será responsable por los daños que causen los órganos de la Administración en el ejercicio de sus funciones, sin perjuicio de las responsabilidades que pudieren afectar al funcionario que los hubiere ocasionado.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8A7"/>
    <w:multiLevelType w:val="hybridMultilevel"/>
    <w:tmpl w:val="3190E05E"/>
    <w:lvl w:ilvl="0" w:tplc="1D26A554">
      <w:start w:val="1"/>
      <w:numFmt w:val="low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A0A616F"/>
    <w:multiLevelType w:val="hybridMultilevel"/>
    <w:tmpl w:val="DDE415C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70078C"/>
    <w:multiLevelType w:val="hybridMultilevel"/>
    <w:tmpl w:val="7E18FFE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8AE5785"/>
    <w:multiLevelType w:val="hybridMultilevel"/>
    <w:tmpl w:val="54BC10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CDF1E85"/>
    <w:multiLevelType w:val="hybridMultilevel"/>
    <w:tmpl w:val="39B8B98C"/>
    <w:lvl w:ilvl="0" w:tplc="1932E008">
      <w:start w:val="1"/>
      <w:numFmt w:val="lowerRoman"/>
      <w:lvlText w:val="%1."/>
      <w:lvlJc w:val="left"/>
      <w:pPr>
        <w:ind w:left="1440" w:hanging="72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5" w15:restartNumberingAfterBreak="0">
    <w:nsid w:val="36A8021A"/>
    <w:multiLevelType w:val="hybridMultilevel"/>
    <w:tmpl w:val="499C5DE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15:restartNumberingAfterBreak="0">
    <w:nsid w:val="39232B14"/>
    <w:multiLevelType w:val="hybridMultilevel"/>
    <w:tmpl w:val="2DA801C6"/>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3F4C04E2"/>
    <w:multiLevelType w:val="hybridMultilevel"/>
    <w:tmpl w:val="0EBE08E6"/>
    <w:lvl w:ilvl="0" w:tplc="340A0011">
      <w:start w:val="1"/>
      <w:numFmt w:val="decimal"/>
      <w:lvlText w:val="%1)"/>
      <w:lvlJc w:val="left"/>
      <w:pPr>
        <w:ind w:left="790" w:hanging="720"/>
      </w:pPr>
    </w:lvl>
    <w:lvl w:ilvl="1" w:tplc="340A0019">
      <w:start w:val="1"/>
      <w:numFmt w:val="lowerLetter"/>
      <w:lvlText w:val="%2."/>
      <w:lvlJc w:val="left"/>
      <w:pPr>
        <w:ind w:left="1150" w:hanging="360"/>
      </w:pPr>
    </w:lvl>
    <w:lvl w:ilvl="2" w:tplc="340A001B">
      <w:start w:val="1"/>
      <w:numFmt w:val="lowerRoman"/>
      <w:lvlText w:val="%3."/>
      <w:lvlJc w:val="right"/>
      <w:pPr>
        <w:ind w:left="1870" w:hanging="180"/>
      </w:pPr>
    </w:lvl>
    <w:lvl w:ilvl="3" w:tplc="340A000F">
      <w:start w:val="1"/>
      <w:numFmt w:val="decimal"/>
      <w:lvlText w:val="%4."/>
      <w:lvlJc w:val="left"/>
      <w:pPr>
        <w:ind w:left="2590" w:hanging="360"/>
      </w:pPr>
    </w:lvl>
    <w:lvl w:ilvl="4" w:tplc="340A0019">
      <w:start w:val="1"/>
      <w:numFmt w:val="lowerLetter"/>
      <w:lvlText w:val="%5."/>
      <w:lvlJc w:val="left"/>
      <w:pPr>
        <w:ind w:left="3310" w:hanging="360"/>
      </w:pPr>
    </w:lvl>
    <w:lvl w:ilvl="5" w:tplc="340A001B">
      <w:start w:val="1"/>
      <w:numFmt w:val="lowerRoman"/>
      <w:lvlText w:val="%6."/>
      <w:lvlJc w:val="right"/>
      <w:pPr>
        <w:ind w:left="4030" w:hanging="180"/>
      </w:pPr>
    </w:lvl>
    <w:lvl w:ilvl="6" w:tplc="340A000F">
      <w:start w:val="1"/>
      <w:numFmt w:val="decimal"/>
      <w:lvlText w:val="%7."/>
      <w:lvlJc w:val="left"/>
      <w:pPr>
        <w:ind w:left="4750" w:hanging="360"/>
      </w:pPr>
    </w:lvl>
    <w:lvl w:ilvl="7" w:tplc="340A0019">
      <w:start w:val="1"/>
      <w:numFmt w:val="lowerLetter"/>
      <w:lvlText w:val="%8."/>
      <w:lvlJc w:val="left"/>
      <w:pPr>
        <w:ind w:left="5470" w:hanging="360"/>
      </w:pPr>
    </w:lvl>
    <w:lvl w:ilvl="8" w:tplc="340A001B">
      <w:start w:val="1"/>
      <w:numFmt w:val="lowerRoman"/>
      <w:lvlText w:val="%9."/>
      <w:lvlJc w:val="right"/>
      <w:pPr>
        <w:ind w:left="6190" w:hanging="180"/>
      </w:pPr>
    </w:lvl>
  </w:abstractNum>
  <w:abstractNum w:abstractNumId="8" w15:restartNumberingAfterBreak="0">
    <w:nsid w:val="44C7418A"/>
    <w:multiLevelType w:val="hybridMultilevel"/>
    <w:tmpl w:val="E98423E8"/>
    <w:lvl w:ilvl="0" w:tplc="809EAF8A">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475F4BE9"/>
    <w:multiLevelType w:val="hybridMultilevel"/>
    <w:tmpl w:val="B888DF28"/>
    <w:lvl w:ilvl="0" w:tplc="B978C84C">
      <w:start w:val="100"/>
      <w:numFmt w:val="lowerRoman"/>
      <w:lvlText w:val="%1."/>
      <w:lvlJc w:val="left"/>
      <w:pPr>
        <w:ind w:left="1080" w:hanging="72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52C81264"/>
    <w:multiLevelType w:val="hybridMultilevel"/>
    <w:tmpl w:val="6F8CB50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1" w15:restartNumberingAfterBreak="0">
    <w:nsid w:val="5417403D"/>
    <w:multiLevelType w:val="hybridMultilevel"/>
    <w:tmpl w:val="F0E064C4"/>
    <w:lvl w:ilvl="0" w:tplc="3FF883AA">
      <w:start w:val="1"/>
      <w:numFmt w:val="decimal"/>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4546AE8"/>
    <w:multiLevelType w:val="hybridMultilevel"/>
    <w:tmpl w:val="AAA0539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54C125F3"/>
    <w:multiLevelType w:val="hybridMultilevel"/>
    <w:tmpl w:val="B7B07C20"/>
    <w:lvl w:ilvl="0" w:tplc="143A37D8">
      <w:start w:val="1"/>
      <w:numFmt w:val="lowerLetter"/>
      <w:lvlText w:val="%1."/>
      <w:lvlJc w:val="left"/>
      <w:pPr>
        <w:ind w:left="720" w:hanging="360"/>
      </w:pPr>
      <w:rPr>
        <w:b/>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5CE20D1B"/>
    <w:multiLevelType w:val="hybridMultilevel"/>
    <w:tmpl w:val="FCE45F3C"/>
    <w:lvl w:ilvl="0" w:tplc="E2463EA8">
      <w:start w:val="1"/>
      <w:numFmt w:val="upperRoman"/>
      <w:lvlText w:val="%1."/>
      <w:lvlJc w:val="left"/>
      <w:pPr>
        <w:ind w:left="1440" w:hanging="720"/>
      </w:pPr>
      <w:rPr>
        <w:rFonts w:hint="default"/>
        <w:u w:val="none"/>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5DB23786"/>
    <w:multiLevelType w:val="hybridMultilevel"/>
    <w:tmpl w:val="3B208E98"/>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635C79FA"/>
    <w:multiLevelType w:val="hybridMultilevel"/>
    <w:tmpl w:val="8A3C8454"/>
    <w:lvl w:ilvl="0" w:tplc="340A0011">
      <w:start w:val="1"/>
      <w:numFmt w:val="decimal"/>
      <w:lvlText w:val="%1)"/>
      <w:lvlJc w:val="left"/>
      <w:pPr>
        <w:ind w:left="720" w:hanging="360"/>
      </w:pPr>
    </w:lvl>
    <w:lvl w:ilvl="1" w:tplc="340A0019">
      <w:start w:val="1"/>
      <w:numFmt w:val="lowerLetter"/>
      <w:lvlText w:val="%2."/>
      <w:lvlJc w:val="left"/>
      <w:pPr>
        <w:ind w:left="1800" w:hanging="72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679458AD"/>
    <w:multiLevelType w:val="hybridMultilevel"/>
    <w:tmpl w:val="14F097EC"/>
    <w:lvl w:ilvl="0" w:tplc="DBA044FE">
      <w:start w:val="1"/>
      <w:numFmt w:val="lowerLetter"/>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67B31C28"/>
    <w:multiLevelType w:val="hybridMultilevel"/>
    <w:tmpl w:val="18C6D726"/>
    <w:lvl w:ilvl="0" w:tplc="50BEDDD8">
      <w:start w:val="1"/>
      <w:numFmt w:val="decimal"/>
      <w:lvlText w:val="%1."/>
      <w:lvlJc w:val="left"/>
      <w:pPr>
        <w:ind w:left="720" w:hanging="360"/>
      </w:pPr>
      <w:rPr>
        <w:rFonts w:hint="default"/>
        <w:b w:val="0"/>
        <w:sz w:val="2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C92711F"/>
    <w:multiLevelType w:val="hybridMultilevel"/>
    <w:tmpl w:val="8C5ACDE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CA53FA5"/>
    <w:multiLevelType w:val="hybridMultilevel"/>
    <w:tmpl w:val="5BC29554"/>
    <w:lvl w:ilvl="0" w:tplc="340A0019">
      <w:start w:val="1"/>
      <w:numFmt w:val="lowerLetter"/>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6FA315E7"/>
    <w:multiLevelType w:val="hybridMultilevel"/>
    <w:tmpl w:val="0EC4E9F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8DB3A0E"/>
    <w:multiLevelType w:val="hybridMultilevel"/>
    <w:tmpl w:val="3D820BA0"/>
    <w:lvl w:ilvl="0" w:tplc="AF280996">
      <w:start w:val="1"/>
      <w:numFmt w:val="low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7A9A41F4"/>
    <w:multiLevelType w:val="hybridMultilevel"/>
    <w:tmpl w:val="BFA47D20"/>
    <w:lvl w:ilvl="0" w:tplc="B11C2996">
      <w:start w:val="1"/>
      <w:numFmt w:val="low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7B110601"/>
    <w:multiLevelType w:val="hybridMultilevel"/>
    <w:tmpl w:val="063C71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CB51251"/>
    <w:multiLevelType w:val="hybridMultilevel"/>
    <w:tmpl w:val="1BB8DB5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num>
  <w:num w:numId="22">
    <w:abstractNumId w:val="0"/>
  </w:num>
  <w:num w:numId="23">
    <w:abstractNumId w:val="24"/>
  </w:num>
  <w:num w:numId="24">
    <w:abstractNumId w:val="1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E4"/>
    <w:rsid w:val="00002E1A"/>
    <w:rsid w:val="000071C1"/>
    <w:rsid w:val="00016E85"/>
    <w:rsid w:val="000211F5"/>
    <w:rsid w:val="00025682"/>
    <w:rsid w:val="00025FC1"/>
    <w:rsid w:val="00026D47"/>
    <w:rsid w:val="00035E97"/>
    <w:rsid w:val="00037AE7"/>
    <w:rsid w:val="0004046B"/>
    <w:rsid w:val="0004708D"/>
    <w:rsid w:val="00053F72"/>
    <w:rsid w:val="00054867"/>
    <w:rsid w:val="00056F74"/>
    <w:rsid w:val="000578FF"/>
    <w:rsid w:val="00057A24"/>
    <w:rsid w:val="00060667"/>
    <w:rsid w:val="00067D8E"/>
    <w:rsid w:val="00075657"/>
    <w:rsid w:val="000756B3"/>
    <w:rsid w:val="000758DB"/>
    <w:rsid w:val="000902A5"/>
    <w:rsid w:val="00093B9D"/>
    <w:rsid w:val="00096496"/>
    <w:rsid w:val="000A45C5"/>
    <w:rsid w:val="000B5D6D"/>
    <w:rsid w:val="000B7F40"/>
    <w:rsid w:val="000C203C"/>
    <w:rsid w:val="000C3755"/>
    <w:rsid w:val="000C527E"/>
    <w:rsid w:val="000C5FBA"/>
    <w:rsid w:val="000C7781"/>
    <w:rsid w:val="000D2C78"/>
    <w:rsid w:val="000D3E3E"/>
    <w:rsid w:val="000E3548"/>
    <w:rsid w:val="000E6155"/>
    <w:rsid w:val="000E70DB"/>
    <w:rsid w:val="00100366"/>
    <w:rsid w:val="00111121"/>
    <w:rsid w:val="001131AE"/>
    <w:rsid w:val="00113B7E"/>
    <w:rsid w:val="001144AF"/>
    <w:rsid w:val="00116300"/>
    <w:rsid w:val="0012135B"/>
    <w:rsid w:val="00123533"/>
    <w:rsid w:val="001241A1"/>
    <w:rsid w:val="001530A9"/>
    <w:rsid w:val="00155C47"/>
    <w:rsid w:val="00157020"/>
    <w:rsid w:val="00157EF8"/>
    <w:rsid w:val="001661F3"/>
    <w:rsid w:val="00170EBA"/>
    <w:rsid w:val="001734AA"/>
    <w:rsid w:val="001811B2"/>
    <w:rsid w:val="00183B0D"/>
    <w:rsid w:val="00186B31"/>
    <w:rsid w:val="00191C9F"/>
    <w:rsid w:val="001965B3"/>
    <w:rsid w:val="001976E2"/>
    <w:rsid w:val="001A2CB7"/>
    <w:rsid w:val="001B0529"/>
    <w:rsid w:val="001B6531"/>
    <w:rsid w:val="001B6A36"/>
    <w:rsid w:val="001C25C4"/>
    <w:rsid w:val="001C31D1"/>
    <w:rsid w:val="001C4345"/>
    <w:rsid w:val="001D00C0"/>
    <w:rsid w:val="001D116D"/>
    <w:rsid w:val="001D2170"/>
    <w:rsid w:val="001E15F0"/>
    <w:rsid w:val="001E4AEC"/>
    <w:rsid w:val="001E4C53"/>
    <w:rsid w:val="001E51CF"/>
    <w:rsid w:val="001E5290"/>
    <w:rsid w:val="00202216"/>
    <w:rsid w:val="00205CAC"/>
    <w:rsid w:val="00212AC5"/>
    <w:rsid w:val="00215DFE"/>
    <w:rsid w:val="00223569"/>
    <w:rsid w:val="002312CF"/>
    <w:rsid w:val="00233DB2"/>
    <w:rsid w:val="002351A1"/>
    <w:rsid w:val="00247432"/>
    <w:rsid w:val="002525BB"/>
    <w:rsid w:val="0026095F"/>
    <w:rsid w:val="00261284"/>
    <w:rsid w:val="002702A1"/>
    <w:rsid w:val="002707E4"/>
    <w:rsid w:val="00273198"/>
    <w:rsid w:val="00277835"/>
    <w:rsid w:val="002834CD"/>
    <w:rsid w:val="00285FAA"/>
    <w:rsid w:val="002919CF"/>
    <w:rsid w:val="00295289"/>
    <w:rsid w:val="0029733A"/>
    <w:rsid w:val="0029760E"/>
    <w:rsid w:val="002A6E37"/>
    <w:rsid w:val="002B4A9B"/>
    <w:rsid w:val="002C143D"/>
    <w:rsid w:val="002C3965"/>
    <w:rsid w:val="002D0D98"/>
    <w:rsid w:val="002D6AF0"/>
    <w:rsid w:val="002E3FC2"/>
    <w:rsid w:val="002F4077"/>
    <w:rsid w:val="003037D7"/>
    <w:rsid w:val="00305A90"/>
    <w:rsid w:val="00306DD7"/>
    <w:rsid w:val="00310C5F"/>
    <w:rsid w:val="00311681"/>
    <w:rsid w:val="0031345A"/>
    <w:rsid w:val="00315D8E"/>
    <w:rsid w:val="003170CC"/>
    <w:rsid w:val="00320048"/>
    <w:rsid w:val="00321191"/>
    <w:rsid w:val="0032654F"/>
    <w:rsid w:val="003313D8"/>
    <w:rsid w:val="00342027"/>
    <w:rsid w:val="003533F8"/>
    <w:rsid w:val="003612B7"/>
    <w:rsid w:val="00362F1F"/>
    <w:rsid w:val="00365605"/>
    <w:rsid w:val="00377F9D"/>
    <w:rsid w:val="00381495"/>
    <w:rsid w:val="00381B75"/>
    <w:rsid w:val="0038793A"/>
    <w:rsid w:val="00391CE5"/>
    <w:rsid w:val="00396120"/>
    <w:rsid w:val="003A09DA"/>
    <w:rsid w:val="003A0A64"/>
    <w:rsid w:val="003A4237"/>
    <w:rsid w:val="003A4B87"/>
    <w:rsid w:val="003B2AB6"/>
    <w:rsid w:val="003B4C86"/>
    <w:rsid w:val="003B4FEB"/>
    <w:rsid w:val="003C620D"/>
    <w:rsid w:val="003D057B"/>
    <w:rsid w:val="003D08F0"/>
    <w:rsid w:val="003D2043"/>
    <w:rsid w:val="003D39E5"/>
    <w:rsid w:val="003E2A66"/>
    <w:rsid w:val="003E5F80"/>
    <w:rsid w:val="003E6FF8"/>
    <w:rsid w:val="003E7D40"/>
    <w:rsid w:val="003F2E34"/>
    <w:rsid w:val="003F504A"/>
    <w:rsid w:val="003F5846"/>
    <w:rsid w:val="00401CB5"/>
    <w:rsid w:val="00404327"/>
    <w:rsid w:val="0040450D"/>
    <w:rsid w:val="00413774"/>
    <w:rsid w:val="00414ED1"/>
    <w:rsid w:val="00423960"/>
    <w:rsid w:val="00425CDA"/>
    <w:rsid w:val="00427FA8"/>
    <w:rsid w:val="00430739"/>
    <w:rsid w:val="004322E2"/>
    <w:rsid w:val="00432F04"/>
    <w:rsid w:val="00433262"/>
    <w:rsid w:val="004354E3"/>
    <w:rsid w:val="00437BAF"/>
    <w:rsid w:val="00443739"/>
    <w:rsid w:val="00446B20"/>
    <w:rsid w:val="004477A0"/>
    <w:rsid w:val="00447F57"/>
    <w:rsid w:val="004544E3"/>
    <w:rsid w:val="0045617A"/>
    <w:rsid w:val="00462490"/>
    <w:rsid w:val="004653DC"/>
    <w:rsid w:val="00465D3D"/>
    <w:rsid w:val="004836CA"/>
    <w:rsid w:val="00485435"/>
    <w:rsid w:val="00490D4E"/>
    <w:rsid w:val="00491EDE"/>
    <w:rsid w:val="0049675D"/>
    <w:rsid w:val="004A2B7F"/>
    <w:rsid w:val="004C233D"/>
    <w:rsid w:val="004E0E41"/>
    <w:rsid w:val="004E6F32"/>
    <w:rsid w:val="004F412B"/>
    <w:rsid w:val="00502074"/>
    <w:rsid w:val="00502ED1"/>
    <w:rsid w:val="005039FD"/>
    <w:rsid w:val="005151CC"/>
    <w:rsid w:val="00516838"/>
    <w:rsid w:val="00516BA8"/>
    <w:rsid w:val="00523BC8"/>
    <w:rsid w:val="0053205E"/>
    <w:rsid w:val="0053272B"/>
    <w:rsid w:val="0053780C"/>
    <w:rsid w:val="00537867"/>
    <w:rsid w:val="00541ECE"/>
    <w:rsid w:val="0054225E"/>
    <w:rsid w:val="005427B1"/>
    <w:rsid w:val="0055487D"/>
    <w:rsid w:val="0056334A"/>
    <w:rsid w:val="00572B36"/>
    <w:rsid w:val="00573008"/>
    <w:rsid w:val="005738DD"/>
    <w:rsid w:val="00576EDD"/>
    <w:rsid w:val="00580787"/>
    <w:rsid w:val="00581A7D"/>
    <w:rsid w:val="00582BB2"/>
    <w:rsid w:val="0058507F"/>
    <w:rsid w:val="00585F62"/>
    <w:rsid w:val="00586360"/>
    <w:rsid w:val="00596A71"/>
    <w:rsid w:val="005A466D"/>
    <w:rsid w:val="005A626F"/>
    <w:rsid w:val="005B3315"/>
    <w:rsid w:val="005B52FB"/>
    <w:rsid w:val="005C6014"/>
    <w:rsid w:val="005C7C1D"/>
    <w:rsid w:val="005D64E7"/>
    <w:rsid w:val="005E6C8B"/>
    <w:rsid w:val="005F0BB1"/>
    <w:rsid w:val="005F431B"/>
    <w:rsid w:val="005F7571"/>
    <w:rsid w:val="00600FA6"/>
    <w:rsid w:val="006021A6"/>
    <w:rsid w:val="00611E87"/>
    <w:rsid w:val="00613460"/>
    <w:rsid w:val="00617EB6"/>
    <w:rsid w:val="00622198"/>
    <w:rsid w:val="00626F29"/>
    <w:rsid w:val="006311CB"/>
    <w:rsid w:val="00637DD7"/>
    <w:rsid w:val="0064426B"/>
    <w:rsid w:val="00645D30"/>
    <w:rsid w:val="0065465A"/>
    <w:rsid w:val="00671903"/>
    <w:rsid w:val="00672F57"/>
    <w:rsid w:val="006747C7"/>
    <w:rsid w:val="006816A7"/>
    <w:rsid w:val="006819BD"/>
    <w:rsid w:val="00683E86"/>
    <w:rsid w:val="00685C9C"/>
    <w:rsid w:val="006932FD"/>
    <w:rsid w:val="00694DB4"/>
    <w:rsid w:val="00695DF4"/>
    <w:rsid w:val="006A09E8"/>
    <w:rsid w:val="006A60AD"/>
    <w:rsid w:val="006A6CFA"/>
    <w:rsid w:val="006B059B"/>
    <w:rsid w:val="006B1E38"/>
    <w:rsid w:val="006C0D10"/>
    <w:rsid w:val="006C0E38"/>
    <w:rsid w:val="006C2A29"/>
    <w:rsid w:val="006C3AFD"/>
    <w:rsid w:val="006C5BB7"/>
    <w:rsid w:val="006C611B"/>
    <w:rsid w:val="006E071F"/>
    <w:rsid w:val="006E55C2"/>
    <w:rsid w:val="006E6D46"/>
    <w:rsid w:val="00701BA9"/>
    <w:rsid w:val="00704DA1"/>
    <w:rsid w:val="00706DAA"/>
    <w:rsid w:val="00707038"/>
    <w:rsid w:val="007142A2"/>
    <w:rsid w:val="00720E2D"/>
    <w:rsid w:val="007226A0"/>
    <w:rsid w:val="007276E1"/>
    <w:rsid w:val="007317AF"/>
    <w:rsid w:val="00736081"/>
    <w:rsid w:val="00741DF3"/>
    <w:rsid w:val="0075494F"/>
    <w:rsid w:val="00755338"/>
    <w:rsid w:val="0076022B"/>
    <w:rsid w:val="00761ABD"/>
    <w:rsid w:val="0076613B"/>
    <w:rsid w:val="007672CE"/>
    <w:rsid w:val="00767F82"/>
    <w:rsid w:val="007714D0"/>
    <w:rsid w:val="00773C86"/>
    <w:rsid w:val="00782D87"/>
    <w:rsid w:val="0078357F"/>
    <w:rsid w:val="0079028B"/>
    <w:rsid w:val="00797625"/>
    <w:rsid w:val="00797727"/>
    <w:rsid w:val="007A234F"/>
    <w:rsid w:val="007A384F"/>
    <w:rsid w:val="007A3E0C"/>
    <w:rsid w:val="007B1A37"/>
    <w:rsid w:val="007C1214"/>
    <w:rsid w:val="007C311D"/>
    <w:rsid w:val="007C4300"/>
    <w:rsid w:val="007C7667"/>
    <w:rsid w:val="007C7C1E"/>
    <w:rsid w:val="007D34B6"/>
    <w:rsid w:val="007D6801"/>
    <w:rsid w:val="007E6309"/>
    <w:rsid w:val="007F5ED7"/>
    <w:rsid w:val="00805B83"/>
    <w:rsid w:val="008074B2"/>
    <w:rsid w:val="00807E3D"/>
    <w:rsid w:val="0081379A"/>
    <w:rsid w:val="00815F1B"/>
    <w:rsid w:val="0082220B"/>
    <w:rsid w:val="00824FCF"/>
    <w:rsid w:val="00837666"/>
    <w:rsid w:val="00841D20"/>
    <w:rsid w:val="0084428C"/>
    <w:rsid w:val="008504F9"/>
    <w:rsid w:val="00857DA0"/>
    <w:rsid w:val="0087363A"/>
    <w:rsid w:val="008744DE"/>
    <w:rsid w:val="008776C2"/>
    <w:rsid w:val="00893DEE"/>
    <w:rsid w:val="00896F2C"/>
    <w:rsid w:val="008A4402"/>
    <w:rsid w:val="008A7032"/>
    <w:rsid w:val="008B2334"/>
    <w:rsid w:val="008B5802"/>
    <w:rsid w:val="008B64DE"/>
    <w:rsid w:val="008B6F75"/>
    <w:rsid w:val="008C0396"/>
    <w:rsid w:val="008C08AE"/>
    <w:rsid w:val="008C199B"/>
    <w:rsid w:val="008C31E8"/>
    <w:rsid w:val="008C543E"/>
    <w:rsid w:val="008C7023"/>
    <w:rsid w:val="008E6769"/>
    <w:rsid w:val="008E791B"/>
    <w:rsid w:val="008F7D35"/>
    <w:rsid w:val="00900141"/>
    <w:rsid w:val="009002A1"/>
    <w:rsid w:val="00906466"/>
    <w:rsid w:val="00906A28"/>
    <w:rsid w:val="00907628"/>
    <w:rsid w:val="009101B1"/>
    <w:rsid w:val="00910872"/>
    <w:rsid w:val="0091247E"/>
    <w:rsid w:val="009135F6"/>
    <w:rsid w:val="009216E4"/>
    <w:rsid w:val="00924421"/>
    <w:rsid w:val="00924786"/>
    <w:rsid w:val="0092660D"/>
    <w:rsid w:val="00940F24"/>
    <w:rsid w:val="00940F9C"/>
    <w:rsid w:val="009434B6"/>
    <w:rsid w:val="0094377E"/>
    <w:rsid w:val="009477A2"/>
    <w:rsid w:val="00952428"/>
    <w:rsid w:val="00965E79"/>
    <w:rsid w:val="00970EB7"/>
    <w:rsid w:val="00972CD7"/>
    <w:rsid w:val="0097497A"/>
    <w:rsid w:val="009773EE"/>
    <w:rsid w:val="00993051"/>
    <w:rsid w:val="0099331E"/>
    <w:rsid w:val="009956D8"/>
    <w:rsid w:val="009A328E"/>
    <w:rsid w:val="009A66BC"/>
    <w:rsid w:val="009B7E91"/>
    <w:rsid w:val="009C31BC"/>
    <w:rsid w:val="009D153B"/>
    <w:rsid w:val="009D19CC"/>
    <w:rsid w:val="009D3C3D"/>
    <w:rsid w:val="009D63CD"/>
    <w:rsid w:val="009E1990"/>
    <w:rsid w:val="009E23E1"/>
    <w:rsid w:val="009E5A7B"/>
    <w:rsid w:val="009E5C8F"/>
    <w:rsid w:val="009F4291"/>
    <w:rsid w:val="00A000DB"/>
    <w:rsid w:val="00A1014E"/>
    <w:rsid w:val="00A14A11"/>
    <w:rsid w:val="00A17F9E"/>
    <w:rsid w:val="00A356EA"/>
    <w:rsid w:val="00A3621E"/>
    <w:rsid w:val="00A363E9"/>
    <w:rsid w:val="00A407E7"/>
    <w:rsid w:val="00A445C1"/>
    <w:rsid w:val="00A44FEE"/>
    <w:rsid w:val="00A55C87"/>
    <w:rsid w:val="00A56483"/>
    <w:rsid w:val="00A62DC5"/>
    <w:rsid w:val="00A645C0"/>
    <w:rsid w:val="00A708E1"/>
    <w:rsid w:val="00A71814"/>
    <w:rsid w:val="00A73BFA"/>
    <w:rsid w:val="00A74C1E"/>
    <w:rsid w:val="00A76665"/>
    <w:rsid w:val="00A84F3F"/>
    <w:rsid w:val="00A86031"/>
    <w:rsid w:val="00A86C07"/>
    <w:rsid w:val="00A90F20"/>
    <w:rsid w:val="00A922F8"/>
    <w:rsid w:val="00A94A7F"/>
    <w:rsid w:val="00A971A1"/>
    <w:rsid w:val="00A97324"/>
    <w:rsid w:val="00AA3B27"/>
    <w:rsid w:val="00AA6061"/>
    <w:rsid w:val="00AA7D81"/>
    <w:rsid w:val="00AB4C2B"/>
    <w:rsid w:val="00AC3390"/>
    <w:rsid w:val="00AD0EC4"/>
    <w:rsid w:val="00AE062B"/>
    <w:rsid w:val="00AF5B24"/>
    <w:rsid w:val="00B0172B"/>
    <w:rsid w:val="00B0234A"/>
    <w:rsid w:val="00B049D3"/>
    <w:rsid w:val="00B06FF8"/>
    <w:rsid w:val="00B115E0"/>
    <w:rsid w:val="00B13A08"/>
    <w:rsid w:val="00B1784F"/>
    <w:rsid w:val="00B22E71"/>
    <w:rsid w:val="00B34A71"/>
    <w:rsid w:val="00B4101D"/>
    <w:rsid w:val="00B420AE"/>
    <w:rsid w:val="00B4552E"/>
    <w:rsid w:val="00B46066"/>
    <w:rsid w:val="00B508AC"/>
    <w:rsid w:val="00B509D6"/>
    <w:rsid w:val="00B53D7C"/>
    <w:rsid w:val="00B63A86"/>
    <w:rsid w:val="00B67232"/>
    <w:rsid w:val="00B67F38"/>
    <w:rsid w:val="00B847D0"/>
    <w:rsid w:val="00B93CB7"/>
    <w:rsid w:val="00B942A1"/>
    <w:rsid w:val="00B96EBA"/>
    <w:rsid w:val="00BA4CFE"/>
    <w:rsid w:val="00BB0A5B"/>
    <w:rsid w:val="00BB6751"/>
    <w:rsid w:val="00BC6891"/>
    <w:rsid w:val="00BD2C73"/>
    <w:rsid w:val="00BD4B64"/>
    <w:rsid w:val="00BD654C"/>
    <w:rsid w:val="00BD6B95"/>
    <w:rsid w:val="00BE1525"/>
    <w:rsid w:val="00BE231B"/>
    <w:rsid w:val="00BE26D0"/>
    <w:rsid w:val="00BE2790"/>
    <w:rsid w:val="00BE2976"/>
    <w:rsid w:val="00BE2CA4"/>
    <w:rsid w:val="00BE50CE"/>
    <w:rsid w:val="00BF3F12"/>
    <w:rsid w:val="00BF538C"/>
    <w:rsid w:val="00BF55B5"/>
    <w:rsid w:val="00BF59B0"/>
    <w:rsid w:val="00BF5DB2"/>
    <w:rsid w:val="00BF7394"/>
    <w:rsid w:val="00C05000"/>
    <w:rsid w:val="00C20E98"/>
    <w:rsid w:val="00C23C64"/>
    <w:rsid w:val="00C27C58"/>
    <w:rsid w:val="00C30BEE"/>
    <w:rsid w:val="00C3307B"/>
    <w:rsid w:val="00C34258"/>
    <w:rsid w:val="00C34656"/>
    <w:rsid w:val="00C35734"/>
    <w:rsid w:val="00C357C4"/>
    <w:rsid w:val="00C368F3"/>
    <w:rsid w:val="00C36958"/>
    <w:rsid w:val="00C40482"/>
    <w:rsid w:val="00C44A0F"/>
    <w:rsid w:val="00C44E04"/>
    <w:rsid w:val="00C5731B"/>
    <w:rsid w:val="00C622F1"/>
    <w:rsid w:val="00C63E83"/>
    <w:rsid w:val="00C65572"/>
    <w:rsid w:val="00C6580C"/>
    <w:rsid w:val="00C65A6A"/>
    <w:rsid w:val="00C7362C"/>
    <w:rsid w:val="00C7775E"/>
    <w:rsid w:val="00C85F86"/>
    <w:rsid w:val="00C914E0"/>
    <w:rsid w:val="00C9559A"/>
    <w:rsid w:val="00C96A06"/>
    <w:rsid w:val="00CC00B4"/>
    <w:rsid w:val="00CD33EB"/>
    <w:rsid w:val="00CD356E"/>
    <w:rsid w:val="00CD4B74"/>
    <w:rsid w:val="00CD72E0"/>
    <w:rsid w:val="00CE17F6"/>
    <w:rsid w:val="00CE2848"/>
    <w:rsid w:val="00CE4622"/>
    <w:rsid w:val="00CF0B35"/>
    <w:rsid w:val="00CF3DEC"/>
    <w:rsid w:val="00CF7F60"/>
    <w:rsid w:val="00D00E81"/>
    <w:rsid w:val="00D104E1"/>
    <w:rsid w:val="00D132B2"/>
    <w:rsid w:val="00D1541A"/>
    <w:rsid w:val="00D17E74"/>
    <w:rsid w:val="00D2749E"/>
    <w:rsid w:val="00D319C0"/>
    <w:rsid w:val="00D43E19"/>
    <w:rsid w:val="00D51788"/>
    <w:rsid w:val="00D526FF"/>
    <w:rsid w:val="00D52FAF"/>
    <w:rsid w:val="00D578E2"/>
    <w:rsid w:val="00D57B21"/>
    <w:rsid w:val="00D6030A"/>
    <w:rsid w:val="00D6539A"/>
    <w:rsid w:val="00D7040F"/>
    <w:rsid w:val="00D74DA7"/>
    <w:rsid w:val="00D7600A"/>
    <w:rsid w:val="00D8415F"/>
    <w:rsid w:val="00D872D7"/>
    <w:rsid w:val="00D90050"/>
    <w:rsid w:val="00D91421"/>
    <w:rsid w:val="00D94BCC"/>
    <w:rsid w:val="00D94E3F"/>
    <w:rsid w:val="00DA2B7A"/>
    <w:rsid w:val="00DB07CE"/>
    <w:rsid w:val="00DB3431"/>
    <w:rsid w:val="00DB78C4"/>
    <w:rsid w:val="00DC3932"/>
    <w:rsid w:val="00DC6406"/>
    <w:rsid w:val="00DD044A"/>
    <w:rsid w:val="00DD0D70"/>
    <w:rsid w:val="00DD0F37"/>
    <w:rsid w:val="00DE320B"/>
    <w:rsid w:val="00DE5674"/>
    <w:rsid w:val="00DE754F"/>
    <w:rsid w:val="00DF4019"/>
    <w:rsid w:val="00DF63BD"/>
    <w:rsid w:val="00E03090"/>
    <w:rsid w:val="00E07472"/>
    <w:rsid w:val="00E13671"/>
    <w:rsid w:val="00E201C2"/>
    <w:rsid w:val="00E23851"/>
    <w:rsid w:val="00E42D7A"/>
    <w:rsid w:val="00E434ED"/>
    <w:rsid w:val="00E440C3"/>
    <w:rsid w:val="00E47DA3"/>
    <w:rsid w:val="00E50B74"/>
    <w:rsid w:val="00E517FD"/>
    <w:rsid w:val="00E52D70"/>
    <w:rsid w:val="00E60580"/>
    <w:rsid w:val="00E607E6"/>
    <w:rsid w:val="00E629C6"/>
    <w:rsid w:val="00E63078"/>
    <w:rsid w:val="00E646C2"/>
    <w:rsid w:val="00E6692E"/>
    <w:rsid w:val="00E74BD7"/>
    <w:rsid w:val="00E75E4B"/>
    <w:rsid w:val="00E77970"/>
    <w:rsid w:val="00E81485"/>
    <w:rsid w:val="00E85F10"/>
    <w:rsid w:val="00E8614A"/>
    <w:rsid w:val="00E92457"/>
    <w:rsid w:val="00E9635C"/>
    <w:rsid w:val="00EA4D46"/>
    <w:rsid w:val="00EA7A57"/>
    <w:rsid w:val="00EA7C3D"/>
    <w:rsid w:val="00EB1E6E"/>
    <w:rsid w:val="00EC0F6B"/>
    <w:rsid w:val="00EC1443"/>
    <w:rsid w:val="00EC370F"/>
    <w:rsid w:val="00EC536B"/>
    <w:rsid w:val="00EC5971"/>
    <w:rsid w:val="00EC7ADF"/>
    <w:rsid w:val="00ED142E"/>
    <w:rsid w:val="00ED1D76"/>
    <w:rsid w:val="00ED1E16"/>
    <w:rsid w:val="00ED4BA8"/>
    <w:rsid w:val="00ED5A5F"/>
    <w:rsid w:val="00EE18BC"/>
    <w:rsid w:val="00EE3711"/>
    <w:rsid w:val="00EE4F68"/>
    <w:rsid w:val="00EE7715"/>
    <w:rsid w:val="00EF3186"/>
    <w:rsid w:val="00F06657"/>
    <w:rsid w:val="00F10C77"/>
    <w:rsid w:val="00F15F35"/>
    <w:rsid w:val="00F16094"/>
    <w:rsid w:val="00F20D04"/>
    <w:rsid w:val="00F272E2"/>
    <w:rsid w:val="00F27D2C"/>
    <w:rsid w:val="00F33C3C"/>
    <w:rsid w:val="00F33C65"/>
    <w:rsid w:val="00F37CB9"/>
    <w:rsid w:val="00F41D1D"/>
    <w:rsid w:val="00F50A19"/>
    <w:rsid w:val="00F52B75"/>
    <w:rsid w:val="00F539B3"/>
    <w:rsid w:val="00F57CD8"/>
    <w:rsid w:val="00F666C0"/>
    <w:rsid w:val="00F7115C"/>
    <w:rsid w:val="00F72A06"/>
    <w:rsid w:val="00F74C7F"/>
    <w:rsid w:val="00F764CB"/>
    <w:rsid w:val="00F77E04"/>
    <w:rsid w:val="00F8423A"/>
    <w:rsid w:val="00F8428B"/>
    <w:rsid w:val="00F9433D"/>
    <w:rsid w:val="00FA12F2"/>
    <w:rsid w:val="00FA496A"/>
    <w:rsid w:val="00FB06CA"/>
    <w:rsid w:val="00FB3E7B"/>
    <w:rsid w:val="00FB556D"/>
    <w:rsid w:val="00FB5636"/>
    <w:rsid w:val="00FB5B27"/>
    <w:rsid w:val="00FB72FE"/>
    <w:rsid w:val="00FC2794"/>
    <w:rsid w:val="00FC31AA"/>
    <w:rsid w:val="00FC71DA"/>
    <w:rsid w:val="00FD1F1B"/>
    <w:rsid w:val="00FD3404"/>
    <w:rsid w:val="00FD3F2F"/>
    <w:rsid w:val="00FD7CE4"/>
    <w:rsid w:val="00FE6949"/>
    <w:rsid w:val="00FF318E"/>
    <w:rsid w:val="00FF3DE4"/>
    <w:rsid w:val="00FF65F1"/>
    <w:rsid w:val="00FF73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34C8"/>
  <w15:chartTrackingRefBased/>
  <w15:docId w15:val="{6E17166A-157E-4FD7-A8DD-5A6FC385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7E4"/>
    <w:pPr>
      <w:spacing w:line="254" w:lineRule="auto"/>
    </w:pPr>
    <w:rPr>
      <w:rFonts w:eastAsiaTheme="minorEastAsia"/>
    </w:rPr>
  </w:style>
  <w:style w:type="paragraph" w:styleId="Ttulo1">
    <w:name w:val="heading 1"/>
    <w:basedOn w:val="Normal"/>
    <w:next w:val="Normal"/>
    <w:link w:val="Ttulo1Car"/>
    <w:uiPriority w:val="9"/>
    <w:qFormat/>
    <w:rsid w:val="001E15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ar"/>
    <w:uiPriority w:val="9"/>
    <w:qFormat/>
    <w:rsid w:val="0084428C"/>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07E4"/>
    <w:rPr>
      <w:color w:val="0563C1" w:themeColor="hyperlink"/>
      <w:u w:val="single"/>
    </w:rPr>
  </w:style>
  <w:style w:type="paragraph" w:styleId="NormalWeb">
    <w:name w:val="Normal (Web)"/>
    <w:basedOn w:val="Normal"/>
    <w:uiPriority w:val="99"/>
    <w:unhideWhenUsed/>
    <w:rsid w:val="002707E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2707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07E4"/>
    <w:rPr>
      <w:sz w:val="20"/>
      <w:szCs w:val="20"/>
    </w:rPr>
  </w:style>
  <w:style w:type="paragraph" w:styleId="Prrafodelista">
    <w:name w:val="List Paragraph"/>
    <w:basedOn w:val="Normal"/>
    <w:uiPriority w:val="34"/>
    <w:qFormat/>
    <w:rsid w:val="002707E4"/>
    <w:pPr>
      <w:ind w:left="720"/>
      <w:contextualSpacing/>
    </w:pPr>
  </w:style>
  <w:style w:type="character" w:styleId="Refdenotaalpie">
    <w:name w:val="footnote reference"/>
    <w:basedOn w:val="Fuentedeprrafopredeter"/>
    <w:uiPriority w:val="99"/>
    <w:semiHidden/>
    <w:unhideWhenUsed/>
    <w:rsid w:val="002707E4"/>
    <w:rPr>
      <w:vertAlign w:val="superscript"/>
    </w:rPr>
  </w:style>
  <w:style w:type="character" w:customStyle="1" w:styleId="documento">
    <w:name w:val="documento"/>
    <w:basedOn w:val="Fuentedeprrafopredeter"/>
    <w:rsid w:val="009E5C8F"/>
  </w:style>
  <w:style w:type="character" w:customStyle="1" w:styleId="organizacion">
    <w:name w:val="organizacion"/>
    <w:basedOn w:val="Fuentedeprrafopredeter"/>
    <w:rsid w:val="009E5C8F"/>
  </w:style>
  <w:style w:type="character" w:customStyle="1" w:styleId="fecha">
    <w:name w:val="fecha"/>
    <w:basedOn w:val="Fuentedeprrafopredeter"/>
    <w:rsid w:val="009E5C8F"/>
  </w:style>
  <w:style w:type="character" w:customStyle="1" w:styleId="persona">
    <w:name w:val="persona"/>
    <w:basedOn w:val="Fuentedeprrafopredeter"/>
    <w:rsid w:val="009E5C8F"/>
  </w:style>
  <w:style w:type="character" w:customStyle="1" w:styleId="papelactor">
    <w:name w:val="papelactor"/>
    <w:basedOn w:val="Fuentedeprrafopredeter"/>
    <w:rsid w:val="00EC1443"/>
  </w:style>
  <w:style w:type="character" w:customStyle="1" w:styleId="Ttulo4Car">
    <w:name w:val="Título 4 Car"/>
    <w:basedOn w:val="Fuentedeprrafopredeter"/>
    <w:link w:val="Ttulo4"/>
    <w:uiPriority w:val="9"/>
    <w:rsid w:val="0084428C"/>
    <w:rPr>
      <w:rFonts w:ascii="Times New Roman" w:eastAsia="Times New Roman" w:hAnsi="Times New Roman" w:cs="Times New Roman"/>
      <w:b/>
      <w:bCs/>
      <w:sz w:val="24"/>
      <w:szCs w:val="24"/>
      <w:lang w:eastAsia="es-CL"/>
    </w:rPr>
  </w:style>
  <w:style w:type="character" w:styleId="Textoennegrita">
    <w:name w:val="Strong"/>
    <w:basedOn w:val="Fuentedeprrafopredeter"/>
    <w:uiPriority w:val="22"/>
    <w:qFormat/>
    <w:rsid w:val="0084428C"/>
    <w:rPr>
      <w:b/>
      <w:bCs/>
    </w:rPr>
  </w:style>
  <w:style w:type="paragraph" w:styleId="Encabezado">
    <w:name w:val="header"/>
    <w:basedOn w:val="Normal"/>
    <w:link w:val="EncabezadoCar"/>
    <w:uiPriority w:val="99"/>
    <w:unhideWhenUsed/>
    <w:rsid w:val="00FD3F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F2F"/>
  </w:style>
  <w:style w:type="paragraph" w:styleId="Piedepgina">
    <w:name w:val="footer"/>
    <w:basedOn w:val="Normal"/>
    <w:link w:val="PiedepginaCar"/>
    <w:uiPriority w:val="99"/>
    <w:unhideWhenUsed/>
    <w:rsid w:val="00FD3F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F2F"/>
  </w:style>
  <w:style w:type="character" w:styleId="Refdecomentario">
    <w:name w:val="annotation reference"/>
    <w:basedOn w:val="Fuentedeprrafopredeter"/>
    <w:uiPriority w:val="99"/>
    <w:semiHidden/>
    <w:unhideWhenUsed/>
    <w:rsid w:val="0031345A"/>
    <w:rPr>
      <w:sz w:val="16"/>
      <w:szCs w:val="16"/>
    </w:rPr>
  </w:style>
  <w:style w:type="paragraph" w:styleId="Textocomentario">
    <w:name w:val="annotation text"/>
    <w:basedOn w:val="Normal"/>
    <w:link w:val="TextocomentarioCar"/>
    <w:uiPriority w:val="99"/>
    <w:semiHidden/>
    <w:unhideWhenUsed/>
    <w:rsid w:val="003134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345A"/>
    <w:rPr>
      <w:sz w:val="20"/>
      <w:szCs w:val="20"/>
    </w:rPr>
  </w:style>
  <w:style w:type="paragraph" w:styleId="Asuntodelcomentario">
    <w:name w:val="annotation subject"/>
    <w:basedOn w:val="Textocomentario"/>
    <w:next w:val="Textocomentario"/>
    <w:link w:val="AsuntodelcomentarioCar"/>
    <w:uiPriority w:val="99"/>
    <w:semiHidden/>
    <w:unhideWhenUsed/>
    <w:rsid w:val="0031345A"/>
    <w:rPr>
      <w:b/>
      <w:bCs/>
    </w:rPr>
  </w:style>
  <w:style w:type="character" w:customStyle="1" w:styleId="AsuntodelcomentarioCar">
    <w:name w:val="Asunto del comentario Car"/>
    <w:basedOn w:val="TextocomentarioCar"/>
    <w:link w:val="Asuntodelcomentario"/>
    <w:uiPriority w:val="99"/>
    <w:semiHidden/>
    <w:rsid w:val="0031345A"/>
    <w:rPr>
      <w:b/>
      <w:bCs/>
      <w:sz w:val="20"/>
      <w:szCs w:val="20"/>
    </w:rPr>
  </w:style>
  <w:style w:type="character" w:customStyle="1" w:styleId="Ttulo1Car">
    <w:name w:val="Título 1 Car"/>
    <w:basedOn w:val="Fuentedeprrafopredeter"/>
    <w:link w:val="Ttulo1"/>
    <w:uiPriority w:val="9"/>
    <w:rsid w:val="001E15F0"/>
    <w:rPr>
      <w:rFonts w:asciiTheme="majorHAnsi" w:eastAsiaTheme="majorEastAsia" w:hAnsiTheme="majorHAnsi" w:cstheme="majorBidi"/>
      <w:color w:val="2F5496" w:themeColor="accent1" w:themeShade="BF"/>
      <w:sz w:val="32"/>
      <w:szCs w:val="32"/>
    </w:rPr>
  </w:style>
  <w:style w:type="character" w:styleId="Mencinsinresolver">
    <w:name w:val="Unresolved Mention"/>
    <w:basedOn w:val="Fuentedeprrafopredeter"/>
    <w:uiPriority w:val="99"/>
    <w:semiHidden/>
    <w:unhideWhenUsed/>
    <w:rsid w:val="005D64E7"/>
    <w:rPr>
      <w:color w:val="605E5C"/>
      <w:shd w:val="clear" w:color="auto" w:fill="E1DFDD"/>
    </w:rPr>
  </w:style>
  <w:style w:type="character" w:styleId="nfasis">
    <w:name w:val="Emphasis"/>
    <w:basedOn w:val="Fuentedeprrafopredeter"/>
    <w:uiPriority w:val="20"/>
    <w:qFormat/>
    <w:rsid w:val="00FD1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338">
      <w:bodyDiv w:val="1"/>
      <w:marLeft w:val="0"/>
      <w:marRight w:val="0"/>
      <w:marTop w:val="0"/>
      <w:marBottom w:val="0"/>
      <w:divBdr>
        <w:top w:val="none" w:sz="0" w:space="0" w:color="auto"/>
        <w:left w:val="none" w:sz="0" w:space="0" w:color="auto"/>
        <w:bottom w:val="none" w:sz="0" w:space="0" w:color="auto"/>
        <w:right w:val="none" w:sz="0" w:space="0" w:color="auto"/>
      </w:divBdr>
    </w:div>
    <w:div w:id="36049866">
      <w:bodyDiv w:val="1"/>
      <w:marLeft w:val="0"/>
      <w:marRight w:val="0"/>
      <w:marTop w:val="0"/>
      <w:marBottom w:val="0"/>
      <w:divBdr>
        <w:top w:val="none" w:sz="0" w:space="0" w:color="auto"/>
        <w:left w:val="none" w:sz="0" w:space="0" w:color="auto"/>
        <w:bottom w:val="none" w:sz="0" w:space="0" w:color="auto"/>
        <w:right w:val="none" w:sz="0" w:space="0" w:color="auto"/>
      </w:divBdr>
    </w:div>
    <w:div w:id="43874145">
      <w:bodyDiv w:val="1"/>
      <w:marLeft w:val="0"/>
      <w:marRight w:val="0"/>
      <w:marTop w:val="0"/>
      <w:marBottom w:val="0"/>
      <w:divBdr>
        <w:top w:val="none" w:sz="0" w:space="0" w:color="auto"/>
        <w:left w:val="none" w:sz="0" w:space="0" w:color="auto"/>
        <w:bottom w:val="none" w:sz="0" w:space="0" w:color="auto"/>
        <w:right w:val="none" w:sz="0" w:space="0" w:color="auto"/>
      </w:divBdr>
    </w:div>
    <w:div w:id="56248747">
      <w:bodyDiv w:val="1"/>
      <w:marLeft w:val="0"/>
      <w:marRight w:val="0"/>
      <w:marTop w:val="0"/>
      <w:marBottom w:val="0"/>
      <w:divBdr>
        <w:top w:val="none" w:sz="0" w:space="0" w:color="auto"/>
        <w:left w:val="none" w:sz="0" w:space="0" w:color="auto"/>
        <w:bottom w:val="none" w:sz="0" w:space="0" w:color="auto"/>
        <w:right w:val="none" w:sz="0" w:space="0" w:color="auto"/>
      </w:divBdr>
    </w:div>
    <w:div w:id="92406092">
      <w:bodyDiv w:val="1"/>
      <w:marLeft w:val="0"/>
      <w:marRight w:val="0"/>
      <w:marTop w:val="0"/>
      <w:marBottom w:val="0"/>
      <w:divBdr>
        <w:top w:val="none" w:sz="0" w:space="0" w:color="auto"/>
        <w:left w:val="none" w:sz="0" w:space="0" w:color="auto"/>
        <w:bottom w:val="none" w:sz="0" w:space="0" w:color="auto"/>
        <w:right w:val="none" w:sz="0" w:space="0" w:color="auto"/>
      </w:divBdr>
    </w:div>
    <w:div w:id="98068072">
      <w:bodyDiv w:val="1"/>
      <w:marLeft w:val="0"/>
      <w:marRight w:val="0"/>
      <w:marTop w:val="0"/>
      <w:marBottom w:val="0"/>
      <w:divBdr>
        <w:top w:val="none" w:sz="0" w:space="0" w:color="auto"/>
        <w:left w:val="none" w:sz="0" w:space="0" w:color="auto"/>
        <w:bottom w:val="none" w:sz="0" w:space="0" w:color="auto"/>
        <w:right w:val="none" w:sz="0" w:space="0" w:color="auto"/>
      </w:divBdr>
    </w:div>
    <w:div w:id="112410695">
      <w:bodyDiv w:val="1"/>
      <w:marLeft w:val="0"/>
      <w:marRight w:val="0"/>
      <w:marTop w:val="0"/>
      <w:marBottom w:val="0"/>
      <w:divBdr>
        <w:top w:val="none" w:sz="0" w:space="0" w:color="auto"/>
        <w:left w:val="none" w:sz="0" w:space="0" w:color="auto"/>
        <w:bottom w:val="none" w:sz="0" w:space="0" w:color="auto"/>
        <w:right w:val="none" w:sz="0" w:space="0" w:color="auto"/>
      </w:divBdr>
    </w:div>
    <w:div w:id="130832699">
      <w:bodyDiv w:val="1"/>
      <w:marLeft w:val="0"/>
      <w:marRight w:val="0"/>
      <w:marTop w:val="0"/>
      <w:marBottom w:val="0"/>
      <w:divBdr>
        <w:top w:val="none" w:sz="0" w:space="0" w:color="auto"/>
        <w:left w:val="none" w:sz="0" w:space="0" w:color="auto"/>
        <w:bottom w:val="none" w:sz="0" w:space="0" w:color="auto"/>
        <w:right w:val="none" w:sz="0" w:space="0" w:color="auto"/>
      </w:divBdr>
    </w:div>
    <w:div w:id="135873750">
      <w:bodyDiv w:val="1"/>
      <w:marLeft w:val="0"/>
      <w:marRight w:val="0"/>
      <w:marTop w:val="0"/>
      <w:marBottom w:val="0"/>
      <w:divBdr>
        <w:top w:val="none" w:sz="0" w:space="0" w:color="auto"/>
        <w:left w:val="none" w:sz="0" w:space="0" w:color="auto"/>
        <w:bottom w:val="none" w:sz="0" w:space="0" w:color="auto"/>
        <w:right w:val="none" w:sz="0" w:space="0" w:color="auto"/>
      </w:divBdr>
    </w:div>
    <w:div w:id="169225234">
      <w:bodyDiv w:val="1"/>
      <w:marLeft w:val="0"/>
      <w:marRight w:val="0"/>
      <w:marTop w:val="0"/>
      <w:marBottom w:val="0"/>
      <w:divBdr>
        <w:top w:val="none" w:sz="0" w:space="0" w:color="auto"/>
        <w:left w:val="none" w:sz="0" w:space="0" w:color="auto"/>
        <w:bottom w:val="none" w:sz="0" w:space="0" w:color="auto"/>
        <w:right w:val="none" w:sz="0" w:space="0" w:color="auto"/>
      </w:divBdr>
    </w:div>
    <w:div w:id="174348629">
      <w:bodyDiv w:val="1"/>
      <w:marLeft w:val="0"/>
      <w:marRight w:val="0"/>
      <w:marTop w:val="0"/>
      <w:marBottom w:val="0"/>
      <w:divBdr>
        <w:top w:val="none" w:sz="0" w:space="0" w:color="auto"/>
        <w:left w:val="none" w:sz="0" w:space="0" w:color="auto"/>
        <w:bottom w:val="none" w:sz="0" w:space="0" w:color="auto"/>
        <w:right w:val="none" w:sz="0" w:space="0" w:color="auto"/>
      </w:divBdr>
    </w:div>
    <w:div w:id="199246144">
      <w:bodyDiv w:val="1"/>
      <w:marLeft w:val="0"/>
      <w:marRight w:val="0"/>
      <w:marTop w:val="0"/>
      <w:marBottom w:val="0"/>
      <w:divBdr>
        <w:top w:val="none" w:sz="0" w:space="0" w:color="auto"/>
        <w:left w:val="none" w:sz="0" w:space="0" w:color="auto"/>
        <w:bottom w:val="none" w:sz="0" w:space="0" w:color="auto"/>
        <w:right w:val="none" w:sz="0" w:space="0" w:color="auto"/>
      </w:divBdr>
    </w:div>
    <w:div w:id="209342398">
      <w:bodyDiv w:val="1"/>
      <w:marLeft w:val="0"/>
      <w:marRight w:val="0"/>
      <w:marTop w:val="0"/>
      <w:marBottom w:val="0"/>
      <w:divBdr>
        <w:top w:val="none" w:sz="0" w:space="0" w:color="auto"/>
        <w:left w:val="none" w:sz="0" w:space="0" w:color="auto"/>
        <w:bottom w:val="none" w:sz="0" w:space="0" w:color="auto"/>
        <w:right w:val="none" w:sz="0" w:space="0" w:color="auto"/>
      </w:divBdr>
    </w:div>
    <w:div w:id="217404688">
      <w:bodyDiv w:val="1"/>
      <w:marLeft w:val="0"/>
      <w:marRight w:val="0"/>
      <w:marTop w:val="0"/>
      <w:marBottom w:val="0"/>
      <w:divBdr>
        <w:top w:val="none" w:sz="0" w:space="0" w:color="auto"/>
        <w:left w:val="none" w:sz="0" w:space="0" w:color="auto"/>
        <w:bottom w:val="none" w:sz="0" w:space="0" w:color="auto"/>
        <w:right w:val="none" w:sz="0" w:space="0" w:color="auto"/>
      </w:divBdr>
    </w:div>
    <w:div w:id="221841522">
      <w:bodyDiv w:val="1"/>
      <w:marLeft w:val="0"/>
      <w:marRight w:val="0"/>
      <w:marTop w:val="0"/>
      <w:marBottom w:val="0"/>
      <w:divBdr>
        <w:top w:val="none" w:sz="0" w:space="0" w:color="auto"/>
        <w:left w:val="none" w:sz="0" w:space="0" w:color="auto"/>
        <w:bottom w:val="none" w:sz="0" w:space="0" w:color="auto"/>
        <w:right w:val="none" w:sz="0" w:space="0" w:color="auto"/>
      </w:divBdr>
    </w:div>
    <w:div w:id="231814318">
      <w:bodyDiv w:val="1"/>
      <w:marLeft w:val="0"/>
      <w:marRight w:val="0"/>
      <w:marTop w:val="0"/>
      <w:marBottom w:val="0"/>
      <w:divBdr>
        <w:top w:val="none" w:sz="0" w:space="0" w:color="auto"/>
        <w:left w:val="none" w:sz="0" w:space="0" w:color="auto"/>
        <w:bottom w:val="none" w:sz="0" w:space="0" w:color="auto"/>
        <w:right w:val="none" w:sz="0" w:space="0" w:color="auto"/>
      </w:divBdr>
    </w:div>
    <w:div w:id="284316883">
      <w:bodyDiv w:val="1"/>
      <w:marLeft w:val="0"/>
      <w:marRight w:val="0"/>
      <w:marTop w:val="0"/>
      <w:marBottom w:val="0"/>
      <w:divBdr>
        <w:top w:val="none" w:sz="0" w:space="0" w:color="auto"/>
        <w:left w:val="none" w:sz="0" w:space="0" w:color="auto"/>
        <w:bottom w:val="none" w:sz="0" w:space="0" w:color="auto"/>
        <w:right w:val="none" w:sz="0" w:space="0" w:color="auto"/>
      </w:divBdr>
    </w:div>
    <w:div w:id="291596915">
      <w:bodyDiv w:val="1"/>
      <w:marLeft w:val="0"/>
      <w:marRight w:val="0"/>
      <w:marTop w:val="0"/>
      <w:marBottom w:val="0"/>
      <w:divBdr>
        <w:top w:val="none" w:sz="0" w:space="0" w:color="auto"/>
        <w:left w:val="none" w:sz="0" w:space="0" w:color="auto"/>
        <w:bottom w:val="none" w:sz="0" w:space="0" w:color="auto"/>
        <w:right w:val="none" w:sz="0" w:space="0" w:color="auto"/>
      </w:divBdr>
    </w:div>
    <w:div w:id="346056148">
      <w:bodyDiv w:val="1"/>
      <w:marLeft w:val="0"/>
      <w:marRight w:val="0"/>
      <w:marTop w:val="0"/>
      <w:marBottom w:val="0"/>
      <w:divBdr>
        <w:top w:val="none" w:sz="0" w:space="0" w:color="auto"/>
        <w:left w:val="none" w:sz="0" w:space="0" w:color="auto"/>
        <w:bottom w:val="none" w:sz="0" w:space="0" w:color="auto"/>
        <w:right w:val="none" w:sz="0" w:space="0" w:color="auto"/>
      </w:divBdr>
    </w:div>
    <w:div w:id="352655471">
      <w:bodyDiv w:val="1"/>
      <w:marLeft w:val="0"/>
      <w:marRight w:val="0"/>
      <w:marTop w:val="0"/>
      <w:marBottom w:val="0"/>
      <w:divBdr>
        <w:top w:val="none" w:sz="0" w:space="0" w:color="auto"/>
        <w:left w:val="none" w:sz="0" w:space="0" w:color="auto"/>
        <w:bottom w:val="none" w:sz="0" w:space="0" w:color="auto"/>
        <w:right w:val="none" w:sz="0" w:space="0" w:color="auto"/>
      </w:divBdr>
    </w:div>
    <w:div w:id="366835632">
      <w:bodyDiv w:val="1"/>
      <w:marLeft w:val="0"/>
      <w:marRight w:val="0"/>
      <w:marTop w:val="0"/>
      <w:marBottom w:val="0"/>
      <w:divBdr>
        <w:top w:val="none" w:sz="0" w:space="0" w:color="auto"/>
        <w:left w:val="none" w:sz="0" w:space="0" w:color="auto"/>
        <w:bottom w:val="none" w:sz="0" w:space="0" w:color="auto"/>
        <w:right w:val="none" w:sz="0" w:space="0" w:color="auto"/>
      </w:divBdr>
    </w:div>
    <w:div w:id="370232696">
      <w:bodyDiv w:val="1"/>
      <w:marLeft w:val="0"/>
      <w:marRight w:val="0"/>
      <w:marTop w:val="0"/>
      <w:marBottom w:val="0"/>
      <w:divBdr>
        <w:top w:val="none" w:sz="0" w:space="0" w:color="auto"/>
        <w:left w:val="none" w:sz="0" w:space="0" w:color="auto"/>
        <w:bottom w:val="none" w:sz="0" w:space="0" w:color="auto"/>
        <w:right w:val="none" w:sz="0" w:space="0" w:color="auto"/>
      </w:divBdr>
    </w:div>
    <w:div w:id="399640934">
      <w:bodyDiv w:val="1"/>
      <w:marLeft w:val="0"/>
      <w:marRight w:val="0"/>
      <w:marTop w:val="0"/>
      <w:marBottom w:val="0"/>
      <w:divBdr>
        <w:top w:val="none" w:sz="0" w:space="0" w:color="auto"/>
        <w:left w:val="none" w:sz="0" w:space="0" w:color="auto"/>
        <w:bottom w:val="none" w:sz="0" w:space="0" w:color="auto"/>
        <w:right w:val="none" w:sz="0" w:space="0" w:color="auto"/>
      </w:divBdr>
    </w:div>
    <w:div w:id="402685615">
      <w:bodyDiv w:val="1"/>
      <w:marLeft w:val="0"/>
      <w:marRight w:val="0"/>
      <w:marTop w:val="0"/>
      <w:marBottom w:val="0"/>
      <w:divBdr>
        <w:top w:val="none" w:sz="0" w:space="0" w:color="auto"/>
        <w:left w:val="none" w:sz="0" w:space="0" w:color="auto"/>
        <w:bottom w:val="none" w:sz="0" w:space="0" w:color="auto"/>
        <w:right w:val="none" w:sz="0" w:space="0" w:color="auto"/>
      </w:divBdr>
    </w:div>
    <w:div w:id="406851129">
      <w:bodyDiv w:val="1"/>
      <w:marLeft w:val="0"/>
      <w:marRight w:val="0"/>
      <w:marTop w:val="0"/>
      <w:marBottom w:val="0"/>
      <w:divBdr>
        <w:top w:val="none" w:sz="0" w:space="0" w:color="auto"/>
        <w:left w:val="none" w:sz="0" w:space="0" w:color="auto"/>
        <w:bottom w:val="none" w:sz="0" w:space="0" w:color="auto"/>
        <w:right w:val="none" w:sz="0" w:space="0" w:color="auto"/>
      </w:divBdr>
    </w:div>
    <w:div w:id="414782624">
      <w:bodyDiv w:val="1"/>
      <w:marLeft w:val="0"/>
      <w:marRight w:val="0"/>
      <w:marTop w:val="0"/>
      <w:marBottom w:val="0"/>
      <w:divBdr>
        <w:top w:val="none" w:sz="0" w:space="0" w:color="auto"/>
        <w:left w:val="none" w:sz="0" w:space="0" w:color="auto"/>
        <w:bottom w:val="none" w:sz="0" w:space="0" w:color="auto"/>
        <w:right w:val="none" w:sz="0" w:space="0" w:color="auto"/>
      </w:divBdr>
    </w:div>
    <w:div w:id="433401087">
      <w:bodyDiv w:val="1"/>
      <w:marLeft w:val="0"/>
      <w:marRight w:val="0"/>
      <w:marTop w:val="0"/>
      <w:marBottom w:val="0"/>
      <w:divBdr>
        <w:top w:val="none" w:sz="0" w:space="0" w:color="auto"/>
        <w:left w:val="none" w:sz="0" w:space="0" w:color="auto"/>
        <w:bottom w:val="none" w:sz="0" w:space="0" w:color="auto"/>
        <w:right w:val="none" w:sz="0" w:space="0" w:color="auto"/>
      </w:divBdr>
    </w:div>
    <w:div w:id="482814428">
      <w:bodyDiv w:val="1"/>
      <w:marLeft w:val="0"/>
      <w:marRight w:val="0"/>
      <w:marTop w:val="0"/>
      <w:marBottom w:val="0"/>
      <w:divBdr>
        <w:top w:val="none" w:sz="0" w:space="0" w:color="auto"/>
        <w:left w:val="none" w:sz="0" w:space="0" w:color="auto"/>
        <w:bottom w:val="none" w:sz="0" w:space="0" w:color="auto"/>
        <w:right w:val="none" w:sz="0" w:space="0" w:color="auto"/>
      </w:divBdr>
    </w:div>
    <w:div w:id="512039511">
      <w:bodyDiv w:val="1"/>
      <w:marLeft w:val="0"/>
      <w:marRight w:val="0"/>
      <w:marTop w:val="0"/>
      <w:marBottom w:val="0"/>
      <w:divBdr>
        <w:top w:val="none" w:sz="0" w:space="0" w:color="auto"/>
        <w:left w:val="none" w:sz="0" w:space="0" w:color="auto"/>
        <w:bottom w:val="none" w:sz="0" w:space="0" w:color="auto"/>
        <w:right w:val="none" w:sz="0" w:space="0" w:color="auto"/>
      </w:divBdr>
    </w:div>
    <w:div w:id="529534999">
      <w:bodyDiv w:val="1"/>
      <w:marLeft w:val="0"/>
      <w:marRight w:val="0"/>
      <w:marTop w:val="0"/>
      <w:marBottom w:val="0"/>
      <w:divBdr>
        <w:top w:val="none" w:sz="0" w:space="0" w:color="auto"/>
        <w:left w:val="none" w:sz="0" w:space="0" w:color="auto"/>
        <w:bottom w:val="none" w:sz="0" w:space="0" w:color="auto"/>
        <w:right w:val="none" w:sz="0" w:space="0" w:color="auto"/>
      </w:divBdr>
    </w:div>
    <w:div w:id="549921892">
      <w:bodyDiv w:val="1"/>
      <w:marLeft w:val="0"/>
      <w:marRight w:val="0"/>
      <w:marTop w:val="0"/>
      <w:marBottom w:val="0"/>
      <w:divBdr>
        <w:top w:val="none" w:sz="0" w:space="0" w:color="auto"/>
        <w:left w:val="none" w:sz="0" w:space="0" w:color="auto"/>
        <w:bottom w:val="none" w:sz="0" w:space="0" w:color="auto"/>
        <w:right w:val="none" w:sz="0" w:space="0" w:color="auto"/>
      </w:divBdr>
    </w:div>
    <w:div w:id="557472761">
      <w:bodyDiv w:val="1"/>
      <w:marLeft w:val="0"/>
      <w:marRight w:val="0"/>
      <w:marTop w:val="0"/>
      <w:marBottom w:val="0"/>
      <w:divBdr>
        <w:top w:val="none" w:sz="0" w:space="0" w:color="auto"/>
        <w:left w:val="none" w:sz="0" w:space="0" w:color="auto"/>
        <w:bottom w:val="none" w:sz="0" w:space="0" w:color="auto"/>
        <w:right w:val="none" w:sz="0" w:space="0" w:color="auto"/>
      </w:divBdr>
    </w:div>
    <w:div w:id="565993379">
      <w:bodyDiv w:val="1"/>
      <w:marLeft w:val="0"/>
      <w:marRight w:val="0"/>
      <w:marTop w:val="0"/>
      <w:marBottom w:val="0"/>
      <w:divBdr>
        <w:top w:val="none" w:sz="0" w:space="0" w:color="auto"/>
        <w:left w:val="none" w:sz="0" w:space="0" w:color="auto"/>
        <w:bottom w:val="none" w:sz="0" w:space="0" w:color="auto"/>
        <w:right w:val="none" w:sz="0" w:space="0" w:color="auto"/>
      </w:divBdr>
    </w:div>
    <w:div w:id="581304927">
      <w:bodyDiv w:val="1"/>
      <w:marLeft w:val="0"/>
      <w:marRight w:val="0"/>
      <w:marTop w:val="0"/>
      <w:marBottom w:val="0"/>
      <w:divBdr>
        <w:top w:val="none" w:sz="0" w:space="0" w:color="auto"/>
        <w:left w:val="none" w:sz="0" w:space="0" w:color="auto"/>
        <w:bottom w:val="none" w:sz="0" w:space="0" w:color="auto"/>
        <w:right w:val="none" w:sz="0" w:space="0" w:color="auto"/>
      </w:divBdr>
    </w:div>
    <w:div w:id="584412021">
      <w:bodyDiv w:val="1"/>
      <w:marLeft w:val="0"/>
      <w:marRight w:val="0"/>
      <w:marTop w:val="0"/>
      <w:marBottom w:val="0"/>
      <w:divBdr>
        <w:top w:val="none" w:sz="0" w:space="0" w:color="auto"/>
        <w:left w:val="none" w:sz="0" w:space="0" w:color="auto"/>
        <w:bottom w:val="none" w:sz="0" w:space="0" w:color="auto"/>
        <w:right w:val="none" w:sz="0" w:space="0" w:color="auto"/>
      </w:divBdr>
    </w:div>
    <w:div w:id="603003987">
      <w:bodyDiv w:val="1"/>
      <w:marLeft w:val="0"/>
      <w:marRight w:val="0"/>
      <w:marTop w:val="0"/>
      <w:marBottom w:val="0"/>
      <w:divBdr>
        <w:top w:val="none" w:sz="0" w:space="0" w:color="auto"/>
        <w:left w:val="none" w:sz="0" w:space="0" w:color="auto"/>
        <w:bottom w:val="none" w:sz="0" w:space="0" w:color="auto"/>
        <w:right w:val="none" w:sz="0" w:space="0" w:color="auto"/>
      </w:divBdr>
    </w:div>
    <w:div w:id="607392738">
      <w:bodyDiv w:val="1"/>
      <w:marLeft w:val="0"/>
      <w:marRight w:val="0"/>
      <w:marTop w:val="0"/>
      <w:marBottom w:val="0"/>
      <w:divBdr>
        <w:top w:val="none" w:sz="0" w:space="0" w:color="auto"/>
        <w:left w:val="none" w:sz="0" w:space="0" w:color="auto"/>
        <w:bottom w:val="none" w:sz="0" w:space="0" w:color="auto"/>
        <w:right w:val="none" w:sz="0" w:space="0" w:color="auto"/>
      </w:divBdr>
    </w:div>
    <w:div w:id="615453656">
      <w:bodyDiv w:val="1"/>
      <w:marLeft w:val="0"/>
      <w:marRight w:val="0"/>
      <w:marTop w:val="0"/>
      <w:marBottom w:val="0"/>
      <w:divBdr>
        <w:top w:val="none" w:sz="0" w:space="0" w:color="auto"/>
        <w:left w:val="none" w:sz="0" w:space="0" w:color="auto"/>
        <w:bottom w:val="none" w:sz="0" w:space="0" w:color="auto"/>
        <w:right w:val="none" w:sz="0" w:space="0" w:color="auto"/>
      </w:divBdr>
    </w:div>
    <w:div w:id="622075374">
      <w:bodyDiv w:val="1"/>
      <w:marLeft w:val="0"/>
      <w:marRight w:val="0"/>
      <w:marTop w:val="0"/>
      <w:marBottom w:val="0"/>
      <w:divBdr>
        <w:top w:val="none" w:sz="0" w:space="0" w:color="auto"/>
        <w:left w:val="none" w:sz="0" w:space="0" w:color="auto"/>
        <w:bottom w:val="none" w:sz="0" w:space="0" w:color="auto"/>
        <w:right w:val="none" w:sz="0" w:space="0" w:color="auto"/>
      </w:divBdr>
    </w:div>
    <w:div w:id="622151843">
      <w:bodyDiv w:val="1"/>
      <w:marLeft w:val="0"/>
      <w:marRight w:val="0"/>
      <w:marTop w:val="0"/>
      <w:marBottom w:val="0"/>
      <w:divBdr>
        <w:top w:val="none" w:sz="0" w:space="0" w:color="auto"/>
        <w:left w:val="none" w:sz="0" w:space="0" w:color="auto"/>
        <w:bottom w:val="none" w:sz="0" w:space="0" w:color="auto"/>
        <w:right w:val="none" w:sz="0" w:space="0" w:color="auto"/>
      </w:divBdr>
    </w:div>
    <w:div w:id="639187082">
      <w:bodyDiv w:val="1"/>
      <w:marLeft w:val="0"/>
      <w:marRight w:val="0"/>
      <w:marTop w:val="0"/>
      <w:marBottom w:val="0"/>
      <w:divBdr>
        <w:top w:val="none" w:sz="0" w:space="0" w:color="auto"/>
        <w:left w:val="none" w:sz="0" w:space="0" w:color="auto"/>
        <w:bottom w:val="none" w:sz="0" w:space="0" w:color="auto"/>
        <w:right w:val="none" w:sz="0" w:space="0" w:color="auto"/>
      </w:divBdr>
    </w:div>
    <w:div w:id="661197406">
      <w:bodyDiv w:val="1"/>
      <w:marLeft w:val="0"/>
      <w:marRight w:val="0"/>
      <w:marTop w:val="0"/>
      <w:marBottom w:val="0"/>
      <w:divBdr>
        <w:top w:val="none" w:sz="0" w:space="0" w:color="auto"/>
        <w:left w:val="none" w:sz="0" w:space="0" w:color="auto"/>
        <w:bottom w:val="none" w:sz="0" w:space="0" w:color="auto"/>
        <w:right w:val="none" w:sz="0" w:space="0" w:color="auto"/>
      </w:divBdr>
    </w:div>
    <w:div w:id="662513665">
      <w:bodyDiv w:val="1"/>
      <w:marLeft w:val="0"/>
      <w:marRight w:val="0"/>
      <w:marTop w:val="0"/>
      <w:marBottom w:val="0"/>
      <w:divBdr>
        <w:top w:val="none" w:sz="0" w:space="0" w:color="auto"/>
        <w:left w:val="none" w:sz="0" w:space="0" w:color="auto"/>
        <w:bottom w:val="none" w:sz="0" w:space="0" w:color="auto"/>
        <w:right w:val="none" w:sz="0" w:space="0" w:color="auto"/>
      </w:divBdr>
    </w:div>
    <w:div w:id="663630200">
      <w:bodyDiv w:val="1"/>
      <w:marLeft w:val="0"/>
      <w:marRight w:val="0"/>
      <w:marTop w:val="0"/>
      <w:marBottom w:val="0"/>
      <w:divBdr>
        <w:top w:val="none" w:sz="0" w:space="0" w:color="auto"/>
        <w:left w:val="none" w:sz="0" w:space="0" w:color="auto"/>
        <w:bottom w:val="none" w:sz="0" w:space="0" w:color="auto"/>
        <w:right w:val="none" w:sz="0" w:space="0" w:color="auto"/>
      </w:divBdr>
    </w:div>
    <w:div w:id="669332012">
      <w:bodyDiv w:val="1"/>
      <w:marLeft w:val="0"/>
      <w:marRight w:val="0"/>
      <w:marTop w:val="0"/>
      <w:marBottom w:val="0"/>
      <w:divBdr>
        <w:top w:val="none" w:sz="0" w:space="0" w:color="auto"/>
        <w:left w:val="none" w:sz="0" w:space="0" w:color="auto"/>
        <w:bottom w:val="none" w:sz="0" w:space="0" w:color="auto"/>
        <w:right w:val="none" w:sz="0" w:space="0" w:color="auto"/>
      </w:divBdr>
    </w:div>
    <w:div w:id="671296557">
      <w:bodyDiv w:val="1"/>
      <w:marLeft w:val="0"/>
      <w:marRight w:val="0"/>
      <w:marTop w:val="0"/>
      <w:marBottom w:val="0"/>
      <w:divBdr>
        <w:top w:val="none" w:sz="0" w:space="0" w:color="auto"/>
        <w:left w:val="none" w:sz="0" w:space="0" w:color="auto"/>
        <w:bottom w:val="none" w:sz="0" w:space="0" w:color="auto"/>
        <w:right w:val="none" w:sz="0" w:space="0" w:color="auto"/>
      </w:divBdr>
    </w:div>
    <w:div w:id="680741918">
      <w:bodyDiv w:val="1"/>
      <w:marLeft w:val="0"/>
      <w:marRight w:val="0"/>
      <w:marTop w:val="0"/>
      <w:marBottom w:val="0"/>
      <w:divBdr>
        <w:top w:val="none" w:sz="0" w:space="0" w:color="auto"/>
        <w:left w:val="none" w:sz="0" w:space="0" w:color="auto"/>
        <w:bottom w:val="none" w:sz="0" w:space="0" w:color="auto"/>
        <w:right w:val="none" w:sz="0" w:space="0" w:color="auto"/>
      </w:divBdr>
    </w:div>
    <w:div w:id="687606349">
      <w:bodyDiv w:val="1"/>
      <w:marLeft w:val="0"/>
      <w:marRight w:val="0"/>
      <w:marTop w:val="0"/>
      <w:marBottom w:val="0"/>
      <w:divBdr>
        <w:top w:val="none" w:sz="0" w:space="0" w:color="auto"/>
        <w:left w:val="none" w:sz="0" w:space="0" w:color="auto"/>
        <w:bottom w:val="none" w:sz="0" w:space="0" w:color="auto"/>
        <w:right w:val="none" w:sz="0" w:space="0" w:color="auto"/>
      </w:divBdr>
    </w:div>
    <w:div w:id="740831950">
      <w:bodyDiv w:val="1"/>
      <w:marLeft w:val="0"/>
      <w:marRight w:val="0"/>
      <w:marTop w:val="0"/>
      <w:marBottom w:val="0"/>
      <w:divBdr>
        <w:top w:val="none" w:sz="0" w:space="0" w:color="auto"/>
        <w:left w:val="none" w:sz="0" w:space="0" w:color="auto"/>
        <w:bottom w:val="none" w:sz="0" w:space="0" w:color="auto"/>
        <w:right w:val="none" w:sz="0" w:space="0" w:color="auto"/>
      </w:divBdr>
    </w:div>
    <w:div w:id="740982314">
      <w:bodyDiv w:val="1"/>
      <w:marLeft w:val="0"/>
      <w:marRight w:val="0"/>
      <w:marTop w:val="0"/>
      <w:marBottom w:val="0"/>
      <w:divBdr>
        <w:top w:val="none" w:sz="0" w:space="0" w:color="auto"/>
        <w:left w:val="none" w:sz="0" w:space="0" w:color="auto"/>
        <w:bottom w:val="none" w:sz="0" w:space="0" w:color="auto"/>
        <w:right w:val="none" w:sz="0" w:space="0" w:color="auto"/>
      </w:divBdr>
    </w:div>
    <w:div w:id="753476947">
      <w:bodyDiv w:val="1"/>
      <w:marLeft w:val="0"/>
      <w:marRight w:val="0"/>
      <w:marTop w:val="0"/>
      <w:marBottom w:val="0"/>
      <w:divBdr>
        <w:top w:val="none" w:sz="0" w:space="0" w:color="auto"/>
        <w:left w:val="none" w:sz="0" w:space="0" w:color="auto"/>
        <w:bottom w:val="none" w:sz="0" w:space="0" w:color="auto"/>
        <w:right w:val="none" w:sz="0" w:space="0" w:color="auto"/>
      </w:divBdr>
    </w:div>
    <w:div w:id="758793156">
      <w:bodyDiv w:val="1"/>
      <w:marLeft w:val="0"/>
      <w:marRight w:val="0"/>
      <w:marTop w:val="0"/>
      <w:marBottom w:val="0"/>
      <w:divBdr>
        <w:top w:val="none" w:sz="0" w:space="0" w:color="auto"/>
        <w:left w:val="none" w:sz="0" w:space="0" w:color="auto"/>
        <w:bottom w:val="none" w:sz="0" w:space="0" w:color="auto"/>
        <w:right w:val="none" w:sz="0" w:space="0" w:color="auto"/>
      </w:divBdr>
    </w:div>
    <w:div w:id="834343592">
      <w:bodyDiv w:val="1"/>
      <w:marLeft w:val="0"/>
      <w:marRight w:val="0"/>
      <w:marTop w:val="0"/>
      <w:marBottom w:val="0"/>
      <w:divBdr>
        <w:top w:val="none" w:sz="0" w:space="0" w:color="auto"/>
        <w:left w:val="none" w:sz="0" w:space="0" w:color="auto"/>
        <w:bottom w:val="none" w:sz="0" w:space="0" w:color="auto"/>
        <w:right w:val="none" w:sz="0" w:space="0" w:color="auto"/>
      </w:divBdr>
    </w:div>
    <w:div w:id="854464732">
      <w:bodyDiv w:val="1"/>
      <w:marLeft w:val="0"/>
      <w:marRight w:val="0"/>
      <w:marTop w:val="0"/>
      <w:marBottom w:val="0"/>
      <w:divBdr>
        <w:top w:val="none" w:sz="0" w:space="0" w:color="auto"/>
        <w:left w:val="none" w:sz="0" w:space="0" w:color="auto"/>
        <w:bottom w:val="none" w:sz="0" w:space="0" w:color="auto"/>
        <w:right w:val="none" w:sz="0" w:space="0" w:color="auto"/>
      </w:divBdr>
    </w:div>
    <w:div w:id="855578976">
      <w:bodyDiv w:val="1"/>
      <w:marLeft w:val="0"/>
      <w:marRight w:val="0"/>
      <w:marTop w:val="0"/>
      <w:marBottom w:val="0"/>
      <w:divBdr>
        <w:top w:val="none" w:sz="0" w:space="0" w:color="auto"/>
        <w:left w:val="none" w:sz="0" w:space="0" w:color="auto"/>
        <w:bottom w:val="none" w:sz="0" w:space="0" w:color="auto"/>
        <w:right w:val="none" w:sz="0" w:space="0" w:color="auto"/>
      </w:divBdr>
    </w:div>
    <w:div w:id="871914735">
      <w:bodyDiv w:val="1"/>
      <w:marLeft w:val="0"/>
      <w:marRight w:val="0"/>
      <w:marTop w:val="0"/>
      <w:marBottom w:val="0"/>
      <w:divBdr>
        <w:top w:val="none" w:sz="0" w:space="0" w:color="auto"/>
        <w:left w:val="none" w:sz="0" w:space="0" w:color="auto"/>
        <w:bottom w:val="none" w:sz="0" w:space="0" w:color="auto"/>
        <w:right w:val="none" w:sz="0" w:space="0" w:color="auto"/>
      </w:divBdr>
    </w:div>
    <w:div w:id="878857451">
      <w:bodyDiv w:val="1"/>
      <w:marLeft w:val="0"/>
      <w:marRight w:val="0"/>
      <w:marTop w:val="0"/>
      <w:marBottom w:val="0"/>
      <w:divBdr>
        <w:top w:val="none" w:sz="0" w:space="0" w:color="auto"/>
        <w:left w:val="none" w:sz="0" w:space="0" w:color="auto"/>
        <w:bottom w:val="none" w:sz="0" w:space="0" w:color="auto"/>
        <w:right w:val="none" w:sz="0" w:space="0" w:color="auto"/>
      </w:divBdr>
    </w:div>
    <w:div w:id="880018180">
      <w:bodyDiv w:val="1"/>
      <w:marLeft w:val="0"/>
      <w:marRight w:val="0"/>
      <w:marTop w:val="0"/>
      <w:marBottom w:val="0"/>
      <w:divBdr>
        <w:top w:val="none" w:sz="0" w:space="0" w:color="auto"/>
        <w:left w:val="none" w:sz="0" w:space="0" w:color="auto"/>
        <w:bottom w:val="none" w:sz="0" w:space="0" w:color="auto"/>
        <w:right w:val="none" w:sz="0" w:space="0" w:color="auto"/>
      </w:divBdr>
    </w:div>
    <w:div w:id="881209554">
      <w:bodyDiv w:val="1"/>
      <w:marLeft w:val="0"/>
      <w:marRight w:val="0"/>
      <w:marTop w:val="0"/>
      <w:marBottom w:val="0"/>
      <w:divBdr>
        <w:top w:val="none" w:sz="0" w:space="0" w:color="auto"/>
        <w:left w:val="none" w:sz="0" w:space="0" w:color="auto"/>
        <w:bottom w:val="none" w:sz="0" w:space="0" w:color="auto"/>
        <w:right w:val="none" w:sz="0" w:space="0" w:color="auto"/>
      </w:divBdr>
    </w:div>
    <w:div w:id="881601629">
      <w:bodyDiv w:val="1"/>
      <w:marLeft w:val="0"/>
      <w:marRight w:val="0"/>
      <w:marTop w:val="0"/>
      <w:marBottom w:val="0"/>
      <w:divBdr>
        <w:top w:val="none" w:sz="0" w:space="0" w:color="auto"/>
        <w:left w:val="none" w:sz="0" w:space="0" w:color="auto"/>
        <w:bottom w:val="none" w:sz="0" w:space="0" w:color="auto"/>
        <w:right w:val="none" w:sz="0" w:space="0" w:color="auto"/>
      </w:divBdr>
    </w:div>
    <w:div w:id="884291939">
      <w:bodyDiv w:val="1"/>
      <w:marLeft w:val="0"/>
      <w:marRight w:val="0"/>
      <w:marTop w:val="0"/>
      <w:marBottom w:val="0"/>
      <w:divBdr>
        <w:top w:val="none" w:sz="0" w:space="0" w:color="auto"/>
        <w:left w:val="none" w:sz="0" w:space="0" w:color="auto"/>
        <w:bottom w:val="none" w:sz="0" w:space="0" w:color="auto"/>
        <w:right w:val="none" w:sz="0" w:space="0" w:color="auto"/>
      </w:divBdr>
    </w:div>
    <w:div w:id="893732009">
      <w:bodyDiv w:val="1"/>
      <w:marLeft w:val="0"/>
      <w:marRight w:val="0"/>
      <w:marTop w:val="0"/>
      <w:marBottom w:val="0"/>
      <w:divBdr>
        <w:top w:val="none" w:sz="0" w:space="0" w:color="auto"/>
        <w:left w:val="none" w:sz="0" w:space="0" w:color="auto"/>
        <w:bottom w:val="none" w:sz="0" w:space="0" w:color="auto"/>
        <w:right w:val="none" w:sz="0" w:space="0" w:color="auto"/>
      </w:divBdr>
    </w:div>
    <w:div w:id="907376669">
      <w:bodyDiv w:val="1"/>
      <w:marLeft w:val="0"/>
      <w:marRight w:val="0"/>
      <w:marTop w:val="0"/>
      <w:marBottom w:val="0"/>
      <w:divBdr>
        <w:top w:val="none" w:sz="0" w:space="0" w:color="auto"/>
        <w:left w:val="none" w:sz="0" w:space="0" w:color="auto"/>
        <w:bottom w:val="none" w:sz="0" w:space="0" w:color="auto"/>
        <w:right w:val="none" w:sz="0" w:space="0" w:color="auto"/>
      </w:divBdr>
    </w:div>
    <w:div w:id="939486598">
      <w:bodyDiv w:val="1"/>
      <w:marLeft w:val="0"/>
      <w:marRight w:val="0"/>
      <w:marTop w:val="0"/>
      <w:marBottom w:val="0"/>
      <w:divBdr>
        <w:top w:val="none" w:sz="0" w:space="0" w:color="auto"/>
        <w:left w:val="none" w:sz="0" w:space="0" w:color="auto"/>
        <w:bottom w:val="none" w:sz="0" w:space="0" w:color="auto"/>
        <w:right w:val="none" w:sz="0" w:space="0" w:color="auto"/>
      </w:divBdr>
    </w:div>
    <w:div w:id="944076987">
      <w:bodyDiv w:val="1"/>
      <w:marLeft w:val="0"/>
      <w:marRight w:val="0"/>
      <w:marTop w:val="0"/>
      <w:marBottom w:val="0"/>
      <w:divBdr>
        <w:top w:val="none" w:sz="0" w:space="0" w:color="auto"/>
        <w:left w:val="none" w:sz="0" w:space="0" w:color="auto"/>
        <w:bottom w:val="none" w:sz="0" w:space="0" w:color="auto"/>
        <w:right w:val="none" w:sz="0" w:space="0" w:color="auto"/>
      </w:divBdr>
    </w:div>
    <w:div w:id="959066721">
      <w:bodyDiv w:val="1"/>
      <w:marLeft w:val="0"/>
      <w:marRight w:val="0"/>
      <w:marTop w:val="0"/>
      <w:marBottom w:val="0"/>
      <w:divBdr>
        <w:top w:val="none" w:sz="0" w:space="0" w:color="auto"/>
        <w:left w:val="none" w:sz="0" w:space="0" w:color="auto"/>
        <w:bottom w:val="none" w:sz="0" w:space="0" w:color="auto"/>
        <w:right w:val="none" w:sz="0" w:space="0" w:color="auto"/>
      </w:divBdr>
    </w:div>
    <w:div w:id="980426318">
      <w:bodyDiv w:val="1"/>
      <w:marLeft w:val="0"/>
      <w:marRight w:val="0"/>
      <w:marTop w:val="0"/>
      <w:marBottom w:val="0"/>
      <w:divBdr>
        <w:top w:val="none" w:sz="0" w:space="0" w:color="auto"/>
        <w:left w:val="none" w:sz="0" w:space="0" w:color="auto"/>
        <w:bottom w:val="none" w:sz="0" w:space="0" w:color="auto"/>
        <w:right w:val="none" w:sz="0" w:space="0" w:color="auto"/>
      </w:divBdr>
    </w:div>
    <w:div w:id="983512531">
      <w:bodyDiv w:val="1"/>
      <w:marLeft w:val="0"/>
      <w:marRight w:val="0"/>
      <w:marTop w:val="0"/>
      <w:marBottom w:val="0"/>
      <w:divBdr>
        <w:top w:val="none" w:sz="0" w:space="0" w:color="auto"/>
        <w:left w:val="none" w:sz="0" w:space="0" w:color="auto"/>
        <w:bottom w:val="none" w:sz="0" w:space="0" w:color="auto"/>
        <w:right w:val="none" w:sz="0" w:space="0" w:color="auto"/>
      </w:divBdr>
    </w:div>
    <w:div w:id="994799460">
      <w:bodyDiv w:val="1"/>
      <w:marLeft w:val="0"/>
      <w:marRight w:val="0"/>
      <w:marTop w:val="0"/>
      <w:marBottom w:val="0"/>
      <w:divBdr>
        <w:top w:val="none" w:sz="0" w:space="0" w:color="auto"/>
        <w:left w:val="none" w:sz="0" w:space="0" w:color="auto"/>
        <w:bottom w:val="none" w:sz="0" w:space="0" w:color="auto"/>
        <w:right w:val="none" w:sz="0" w:space="0" w:color="auto"/>
      </w:divBdr>
    </w:div>
    <w:div w:id="1015812727">
      <w:bodyDiv w:val="1"/>
      <w:marLeft w:val="0"/>
      <w:marRight w:val="0"/>
      <w:marTop w:val="0"/>
      <w:marBottom w:val="0"/>
      <w:divBdr>
        <w:top w:val="none" w:sz="0" w:space="0" w:color="auto"/>
        <w:left w:val="none" w:sz="0" w:space="0" w:color="auto"/>
        <w:bottom w:val="none" w:sz="0" w:space="0" w:color="auto"/>
        <w:right w:val="none" w:sz="0" w:space="0" w:color="auto"/>
      </w:divBdr>
    </w:div>
    <w:div w:id="1025206176">
      <w:bodyDiv w:val="1"/>
      <w:marLeft w:val="0"/>
      <w:marRight w:val="0"/>
      <w:marTop w:val="0"/>
      <w:marBottom w:val="0"/>
      <w:divBdr>
        <w:top w:val="none" w:sz="0" w:space="0" w:color="auto"/>
        <w:left w:val="none" w:sz="0" w:space="0" w:color="auto"/>
        <w:bottom w:val="none" w:sz="0" w:space="0" w:color="auto"/>
        <w:right w:val="none" w:sz="0" w:space="0" w:color="auto"/>
      </w:divBdr>
    </w:div>
    <w:div w:id="1043016460">
      <w:bodyDiv w:val="1"/>
      <w:marLeft w:val="0"/>
      <w:marRight w:val="0"/>
      <w:marTop w:val="0"/>
      <w:marBottom w:val="0"/>
      <w:divBdr>
        <w:top w:val="none" w:sz="0" w:space="0" w:color="auto"/>
        <w:left w:val="none" w:sz="0" w:space="0" w:color="auto"/>
        <w:bottom w:val="none" w:sz="0" w:space="0" w:color="auto"/>
        <w:right w:val="none" w:sz="0" w:space="0" w:color="auto"/>
      </w:divBdr>
    </w:div>
    <w:div w:id="1043560179">
      <w:bodyDiv w:val="1"/>
      <w:marLeft w:val="0"/>
      <w:marRight w:val="0"/>
      <w:marTop w:val="0"/>
      <w:marBottom w:val="0"/>
      <w:divBdr>
        <w:top w:val="none" w:sz="0" w:space="0" w:color="auto"/>
        <w:left w:val="none" w:sz="0" w:space="0" w:color="auto"/>
        <w:bottom w:val="none" w:sz="0" w:space="0" w:color="auto"/>
        <w:right w:val="none" w:sz="0" w:space="0" w:color="auto"/>
      </w:divBdr>
    </w:div>
    <w:div w:id="1050035604">
      <w:bodyDiv w:val="1"/>
      <w:marLeft w:val="0"/>
      <w:marRight w:val="0"/>
      <w:marTop w:val="0"/>
      <w:marBottom w:val="0"/>
      <w:divBdr>
        <w:top w:val="none" w:sz="0" w:space="0" w:color="auto"/>
        <w:left w:val="none" w:sz="0" w:space="0" w:color="auto"/>
        <w:bottom w:val="none" w:sz="0" w:space="0" w:color="auto"/>
        <w:right w:val="none" w:sz="0" w:space="0" w:color="auto"/>
      </w:divBdr>
    </w:div>
    <w:div w:id="1053309998">
      <w:bodyDiv w:val="1"/>
      <w:marLeft w:val="0"/>
      <w:marRight w:val="0"/>
      <w:marTop w:val="0"/>
      <w:marBottom w:val="0"/>
      <w:divBdr>
        <w:top w:val="none" w:sz="0" w:space="0" w:color="auto"/>
        <w:left w:val="none" w:sz="0" w:space="0" w:color="auto"/>
        <w:bottom w:val="none" w:sz="0" w:space="0" w:color="auto"/>
        <w:right w:val="none" w:sz="0" w:space="0" w:color="auto"/>
      </w:divBdr>
    </w:div>
    <w:div w:id="1076318543">
      <w:bodyDiv w:val="1"/>
      <w:marLeft w:val="0"/>
      <w:marRight w:val="0"/>
      <w:marTop w:val="0"/>
      <w:marBottom w:val="0"/>
      <w:divBdr>
        <w:top w:val="none" w:sz="0" w:space="0" w:color="auto"/>
        <w:left w:val="none" w:sz="0" w:space="0" w:color="auto"/>
        <w:bottom w:val="none" w:sz="0" w:space="0" w:color="auto"/>
        <w:right w:val="none" w:sz="0" w:space="0" w:color="auto"/>
      </w:divBdr>
    </w:div>
    <w:div w:id="1089077659">
      <w:bodyDiv w:val="1"/>
      <w:marLeft w:val="0"/>
      <w:marRight w:val="0"/>
      <w:marTop w:val="0"/>
      <w:marBottom w:val="0"/>
      <w:divBdr>
        <w:top w:val="none" w:sz="0" w:space="0" w:color="auto"/>
        <w:left w:val="none" w:sz="0" w:space="0" w:color="auto"/>
        <w:bottom w:val="none" w:sz="0" w:space="0" w:color="auto"/>
        <w:right w:val="none" w:sz="0" w:space="0" w:color="auto"/>
      </w:divBdr>
    </w:div>
    <w:div w:id="1091119528">
      <w:bodyDiv w:val="1"/>
      <w:marLeft w:val="0"/>
      <w:marRight w:val="0"/>
      <w:marTop w:val="0"/>
      <w:marBottom w:val="0"/>
      <w:divBdr>
        <w:top w:val="none" w:sz="0" w:space="0" w:color="auto"/>
        <w:left w:val="none" w:sz="0" w:space="0" w:color="auto"/>
        <w:bottom w:val="none" w:sz="0" w:space="0" w:color="auto"/>
        <w:right w:val="none" w:sz="0" w:space="0" w:color="auto"/>
      </w:divBdr>
    </w:div>
    <w:div w:id="1095327675">
      <w:bodyDiv w:val="1"/>
      <w:marLeft w:val="0"/>
      <w:marRight w:val="0"/>
      <w:marTop w:val="0"/>
      <w:marBottom w:val="0"/>
      <w:divBdr>
        <w:top w:val="none" w:sz="0" w:space="0" w:color="auto"/>
        <w:left w:val="none" w:sz="0" w:space="0" w:color="auto"/>
        <w:bottom w:val="none" w:sz="0" w:space="0" w:color="auto"/>
        <w:right w:val="none" w:sz="0" w:space="0" w:color="auto"/>
      </w:divBdr>
    </w:div>
    <w:div w:id="1102796630">
      <w:bodyDiv w:val="1"/>
      <w:marLeft w:val="0"/>
      <w:marRight w:val="0"/>
      <w:marTop w:val="0"/>
      <w:marBottom w:val="0"/>
      <w:divBdr>
        <w:top w:val="none" w:sz="0" w:space="0" w:color="auto"/>
        <w:left w:val="none" w:sz="0" w:space="0" w:color="auto"/>
        <w:bottom w:val="none" w:sz="0" w:space="0" w:color="auto"/>
        <w:right w:val="none" w:sz="0" w:space="0" w:color="auto"/>
      </w:divBdr>
    </w:div>
    <w:div w:id="1105807881">
      <w:bodyDiv w:val="1"/>
      <w:marLeft w:val="0"/>
      <w:marRight w:val="0"/>
      <w:marTop w:val="0"/>
      <w:marBottom w:val="0"/>
      <w:divBdr>
        <w:top w:val="none" w:sz="0" w:space="0" w:color="auto"/>
        <w:left w:val="none" w:sz="0" w:space="0" w:color="auto"/>
        <w:bottom w:val="none" w:sz="0" w:space="0" w:color="auto"/>
        <w:right w:val="none" w:sz="0" w:space="0" w:color="auto"/>
      </w:divBdr>
    </w:div>
    <w:div w:id="1133864239">
      <w:bodyDiv w:val="1"/>
      <w:marLeft w:val="0"/>
      <w:marRight w:val="0"/>
      <w:marTop w:val="0"/>
      <w:marBottom w:val="0"/>
      <w:divBdr>
        <w:top w:val="none" w:sz="0" w:space="0" w:color="auto"/>
        <w:left w:val="none" w:sz="0" w:space="0" w:color="auto"/>
        <w:bottom w:val="none" w:sz="0" w:space="0" w:color="auto"/>
        <w:right w:val="none" w:sz="0" w:space="0" w:color="auto"/>
      </w:divBdr>
    </w:div>
    <w:div w:id="1177577295">
      <w:bodyDiv w:val="1"/>
      <w:marLeft w:val="0"/>
      <w:marRight w:val="0"/>
      <w:marTop w:val="0"/>
      <w:marBottom w:val="0"/>
      <w:divBdr>
        <w:top w:val="none" w:sz="0" w:space="0" w:color="auto"/>
        <w:left w:val="none" w:sz="0" w:space="0" w:color="auto"/>
        <w:bottom w:val="none" w:sz="0" w:space="0" w:color="auto"/>
        <w:right w:val="none" w:sz="0" w:space="0" w:color="auto"/>
      </w:divBdr>
    </w:div>
    <w:div w:id="1186552515">
      <w:bodyDiv w:val="1"/>
      <w:marLeft w:val="0"/>
      <w:marRight w:val="0"/>
      <w:marTop w:val="0"/>
      <w:marBottom w:val="0"/>
      <w:divBdr>
        <w:top w:val="none" w:sz="0" w:space="0" w:color="auto"/>
        <w:left w:val="none" w:sz="0" w:space="0" w:color="auto"/>
        <w:bottom w:val="none" w:sz="0" w:space="0" w:color="auto"/>
        <w:right w:val="none" w:sz="0" w:space="0" w:color="auto"/>
      </w:divBdr>
    </w:div>
    <w:div w:id="1195002177">
      <w:bodyDiv w:val="1"/>
      <w:marLeft w:val="0"/>
      <w:marRight w:val="0"/>
      <w:marTop w:val="0"/>
      <w:marBottom w:val="0"/>
      <w:divBdr>
        <w:top w:val="none" w:sz="0" w:space="0" w:color="auto"/>
        <w:left w:val="none" w:sz="0" w:space="0" w:color="auto"/>
        <w:bottom w:val="none" w:sz="0" w:space="0" w:color="auto"/>
        <w:right w:val="none" w:sz="0" w:space="0" w:color="auto"/>
      </w:divBdr>
    </w:div>
    <w:div w:id="1198197629">
      <w:bodyDiv w:val="1"/>
      <w:marLeft w:val="0"/>
      <w:marRight w:val="0"/>
      <w:marTop w:val="0"/>
      <w:marBottom w:val="0"/>
      <w:divBdr>
        <w:top w:val="none" w:sz="0" w:space="0" w:color="auto"/>
        <w:left w:val="none" w:sz="0" w:space="0" w:color="auto"/>
        <w:bottom w:val="none" w:sz="0" w:space="0" w:color="auto"/>
        <w:right w:val="none" w:sz="0" w:space="0" w:color="auto"/>
      </w:divBdr>
    </w:div>
    <w:div w:id="1198857082">
      <w:bodyDiv w:val="1"/>
      <w:marLeft w:val="0"/>
      <w:marRight w:val="0"/>
      <w:marTop w:val="0"/>
      <w:marBottom w:val="0"/>
      <w:divBdr>
        <w:top w:val="none" w:sz="0" w:space="0" w:color="auto"/>
        <w:left w:val="none" w:sz="0" w:space="0" w:color="auto"/>
        <w:bottom w:val="none" w:sz="0" w:space="0" w:color="auto"/>
        <w:right w:val="none" w:sz="0" w:space="0" w:color="auto"/>
      </w:divBdr>
    </w:div>
    <w:div w:id="1203129472">
      <w:bodyDiv w:val="1"/>
      <w:marLeft w:val="0"/>
      <w:marRight w:val="0"/>
      <w:marTop w:val="0"/>
      <w:marBottom w:val="0"/>
      <w:divBdr>
        <w:top w:val="none" w:sz="0" w:space="0" w:color="auto"/>
        <w:left w:val="none" w:sz="0" w:space="0" w:color="auto"/>
        <w:bottom w:val="none" w:sz="0" w:space="0" w:color="auto"/>
        <w:right w:val="none" w:sz="0" w:space="0" w:color="auto"/>
      </w:divBdr>
    </w:div>
    <w:div w:id="1229683637">
      <w:bodyDiv w:val="1"/>
      <w:marLeft w:val="0"/>
      <w:marRight w:val="0"/>
      <w:marTop w:val="0"/>
      <w:marBottom w:val="0"/>
      <w:divBdr>
        <w:top w:val="none" w:sz="0" w:space="0" w:color="auto"/>
        <w:left w:val="none" w:sz="0" w:space="0" w:color="auto"/>
        <w:bottom w:val="none" w:sz="0" w:space="0" w:color="auto"/>
        <w:right w:val="none" w:sz="0" w:space="0" w:color="auto"/>
      </w:divBdr>
    </w:div>
    <w:div w:id="1236015007">
      <w:bodyDiv w:val="1"/>
      <w:marLeft w:val="0"/>
      <w:marRight w:val="0"/>
      <w:marTop w:val="0"/>
      <w:marBottom w:val="0"/>
      <w:divBdr>
        <w:top w:val="none" w:sz="0" w:space="0" w:color="auto"/>
        <w:left w:val="none" w:sz="0" w:space="0" w:color="auto"/>
        <w:bottom w:val="none" w:sz="0" w:space="0" w:color="auto"/>
        <w:right w:val="none" w:sz="0" w:space="0" w:color="auto"/>
      </w:divBdr>
    </w:div>
    <w:div w:id="1247347240">
      <w:bodyDiv w:val="1"/>
      <w:marLeft w:val="0"/>
      <w:marRight w:val="0"/>
      <w:marTop w:val="0"/>
      <w:marBottom w:val="0"/>
      <w:divBdr>
        <w:top w:val="none" w:sz="0" w:space="0" w:color="auto"/>
        <w:left w:val="none" w:sz="0" w:space="0" w:color="auto"/>
        <w:bottom w:val="none" w:sz="0" w:space="0" w:color="auto"/>
        <w:right w:val="none" w:sz="0" w:space="0" w:color="auto"/>
      </w:divBdr>
    </w:div>
    <w:div w:id="1266842570">
      <w:bodyDiv w:val="1"/>
      <w:marLeft w:val="0"/>
      <w:marRight w:val="0"/>
      <w:marTop w:val="0"/>
      <w:marBottom w:val="0"/>
      <w:divBdr>
        <w:top w:val="none" w:sz="0" w:space="0" w:color="auto"/>
        <w:left w:val="none" w:sz="0" w:space="0" w:color="auto"/>
        <w:bottom w:val="none" w:sz="0" w:space="0" w:color="auto"/>
        <w:right w:val="none" w:sz="0" w:space="0" w:color="auto"/>
      </w:divBdr>
    </w:div>
    <w:div w:id="1267496576">
      <w:bodyDiv w:val="1"/>
      <w:marLeft w:val="0"/>
      <w:marRight w:val="0"/>
      <w:marTop w:val="0"/>
      <w:marBottom w:val="0"/>
      <w:divBdr>
        <w:top w:val="none" w:sz="0" w:space="0" w:color="auto"/>
        <w:left w:val="none" w:sz="0" w:space="0" w:color="auto"/>
        <w:bottom w:val="none" w:sz="0" w:space="0" w:color="auto"/>
        <w:right w:val="none" w:sz="0" w:space="0" w:color="auto"/>
      </w:divBdr>
    </w:div>
    <w:div w:id="1289319420">
      <w:bodyDiv w:val="1"/>
      <w:marLeft w:val="0"/>
      <w:marRight w:val="0"/>
      <w:marTop w:val="0"/>
      <w:marBottom w:val="0"/>
      <w:divBdr>
        <w:top w:val="none" w:sz="0" w:space="0" w:color="auto"/>
        <w:left w:val="none" w:sz="0" w:space="0" w:color="auto"/>
        <w:bottom w:val="none" w:sz="0" w:space="0" w:color="auto"/>
        <w:right w:val="none" w:sz="0" w:space="0" w:color="auto"/>
      </w:divBdr>
    </w:div>
    <w:div w:id="1296836281">
      <w:bodyDiv w:val="1"/>
      <w:marLeft w:val="0"/>
      <w:marRight w:val="0"/>
      <w:marTop w:val="0"/>
      <w:marBottom w:val="0"/>
      <w:divBdr>
        <w:top w:val="none" w:sz="0" w:space="0" w:color="auto"/>
        <w:left w:val="none" w:sz="0" w:space="0" w:color="auto"/>
        <w:bottom w:val="none" w:sz="0" w:space="0" w:color="auto"/>
        <w:right w:val="none" w:sz="0" w:space="0" w:color="auto"/>
      </w:divBdr>
    </w:div>
    <w:div w:id="1297293245">
      <w:bodyDiv w:val="1"/>
      <w:marLeft w:val="0"/>
      <w:marRight w:val="0"/>
      <w:marTop w:val="0"/>
      <w:marBottom w:val="0"/>
      <w:divBdr>
        <w:top w:val="none" w:sz="0" w:space="0" w:color="auto"/>
        <w:left w:val="none" w:sz="0" w:space="0" w:color="auto"/>
        <w:bottom w:val="none" w:sz="0" w:space="0" w:color="auto"/>
        <w:right w:val="none" w:sz="0" w:space="0" w:color="auto"/>
      </w:divBdr>
    </w:div>
    <w:div w:id="1312490077">
      <w:bodyDiv w:val="1"/>
      <w:marLeft w:val="0"/>
      <w:marRight w:val="0"/>
      <w:marTop w:val="0"/>
      <w:marBottom w:val="0"/>
      <w:divBdr>
        <w:top w:val="none" w:sz="0" w:space="0" w:color="auto"/>
        <w:left w:val="none" w:sz="0" w:space="0" w:color="auto"/>
        <w:bottom w:val="none" w:sz="0" w:space="0" w:color="auto"/>
        <w:right w:val="none" w:sz="0" w:space="0" w:color="auto"/>
      </w:divBdr>
    </w:div>
    <w:div w:id="1331907367">
      <w:bodyDiv w:val="1"/>
      <w:marLeft w:val="0"/>
      <w:marRight w:val="0"/>
      <w:marTop w:val="0"/>
      <w:marBottom w:val="0"/>
      <w:divBdr>
        <w:top w:val="none" w:sz="0" w:space="0" w:color="auto"/>
        <w:left w:val="none" w:sz="0" w:space="0" w:color="auto"/>
        <w:bottom w:val="none" w:sz="0" w:space="0" w:color="auto"/>
        <w:right w:val="none" w:sz="0" w:space="0" w:color="auto"/>
      </w:divBdr>
    </w:div>
    <w:div w:id="1333796252">
      <w:bodyDiv w:val="1"/>
      <w:marLeft w:val="0"/>
      <w:marRight w:val="0"/>
      <w:marTop w:val="0"/>
      <w:marBottom w:val="0"/>
      <w:divBdr>
        <w:top w:val="none" w:sz="0" w:space="0" w:color="auto"/>
        <w:left w:val="none" w:sz="0" w:space="0" w:color="auto"/>
        <w:bottom w:val="none" w:sz="0" w:space="0" w:color="auto"/>
        <w:right w:val="none" w:sz="0" w:space="0" w:color="auto"/>
      </w:divBdr>
    </w:div>
    <w:div w:id="1339306285">
      <w:bodyDiv w:val="1"/>
      <w:marLeft w:val="0"/>
      <w:marRight w:val="0"/>
      <w:marTop w:val="0"/>
      <w:marBottom w:val="0"/>
      <w:divBdr>
        <w:top w:val="none" w:sz="0" w:space="0" w:color="auto"/>
        <w:left w:val="none" w:sz="0" w:space="0" w:color="auto"/>
        <w:bottom w:val="none" w:sz="0" w:space="0" w:color="auto"/>
        <w:right w:val="none" w:sz="0" w:space="0" w:color="auto"/>
      </w:divBdr>
    </w:div>
    <w:div w:id="1351176563">
      <w:bodyDiv w:val="1"/>
      <w:marLeft w:val="0"/>
      <w:marRight w:val="0"/>
      <w:marTop w:val="0"/>
      <w:marBottom w:val="0"/>
      <w:divBdr>
        <w:top w:val="none" w:sz="0" w:space="0" w:color="auto"/>
        <w:left w:val="none" w:sz="0" w:space="0" w:color="auto"/>
        <w:bottom w:val="none" w:sz="0" w:space="0" w:color="auto"/>
        <w:right w:val="none" w:sz="0" w:space="0" w:color="auto"/>
      </w:divBdr>
    </w:div>
    <w:div w:id="1364400811">
      <w:bodyDiv w:val="1"/>
      <w:marLeft w:val="0"/>
      <w:marRight w:val="0"/>
      <w:marTop w:val="0"/>
      <w:marBottom w:val="0"/>
      <w:divBdr>
        <w:top w:val="none" w:sz="0" w:space="0" w:color="auto"/>
        <w:left w:val="none" w:sz="0" w:space="0" w:color="auto"/>
        <w:bottom w:val="none" w:sz="0" w:space="0" w:color="auto"/>
        <w:right w:val="none" w:sz="0" w:space="0" w:color="auto"/>
      </w:divBdr>
    </w:div>
    <w:div w:id="1372849642">
      <w:bodyDiv w:val="1"/>
      <w:marLeft w:val="0"/>
      <w:marRight w:val="0"/>
      <w:marTop w:val="0"/>
      <w:marBottom w:val="0"/>
      <w:divBdr>
        <w:top w:val="none" w:sz="0" w:space="0" w:color="auto"/>
        <w:left w:val="none" w:sz="0" w:space="0" w:color="auto"/>
        <w:bottom w:val="none" w:sz="0" w:space="0" w:color="auto"/>
        <w:right w:val="none" w:sz="0" w:space="0" w:color="auto"/>
      </w:divBdr>
    </w:div>
    <w:div w:id="1374186841">
      <w:bodyDiv w:val="1"/>
      <w:marLeft w:val="0"/>
      <w:marRight w:val="0"/>
      <w:marTop w:val="0"/>
      <w:marBottom w:val="0"/>
      <w:divBdr>
        <w:top w:val="none" w:sz="0" w:space="0" w:color="auto"/>
        <w:left w:val="none" w:sz="0" w:space="0" w:color="auto"/>
        <w:bottom w:val="none" w:sz="0" w:space="0" w:color="auto"/>
        <w:right w:val="none" w:sz="0" w:space="0" w:color="auto"/>
      </w:divBdr>
    </w:div>
    <w:div w:id="1374496743">
      <w:bodyDiv w:val="1"/>
      <w:marLeft w:val="0"/>
      <w:marRight w:val="0"/>
      <w:marTop w:val="0"/>
      <w:marBottom w:val="0"/>
      <w:divBdr>
        <w:top w:val="none" w:sz="0" w:space="0" w:color="auto"/>
        <w:left w:val="none" w:sz="0" w:space="0" w:color="auto"/>
        <w:bottom w:val="none" w:sz="0" w:space="0" w:color="auto"/>
        <w:right w:val="none" w:sz="0" w:space="0" w:color="auto"/>
      </w:divBdr>
    </w:div>
    <w:div w:id="1378241503">
      <w:bodyDiv w:val="1"/>
      <w:marLeft w:val="0"/>
      <w:marRight w:val="0"/>
      <w:marTop w:val="0"/>
      <w:marBottom w:val="0"/>
      <w:divBdr>
        <w:top w:val="none" w:sz="0" w:space="0" w:color="auto"/>
        <w:left w:val="none" w:sz="0" w:space="0" w:color="auto"/>
        <w:bottom w:val="none" w:sz="0" w:space="0" w:color="auto"/>
        <w:right w:val="none" w:sz="0" w:space="0" w:color="auto"/>
      </w:divBdr>
    </w:div>
    <w:div w:id="1382512774">
      <w:bodyDiv w:val="1"/>
      <w:marLeft w:val="0"/>
      <w:marRight w:val="0"/>
      <w:marTop w:val="0"/>
      <w:marBottom w:val="0"/>
      <w:divBdr>
        <w:top w:val="none" w:sz="0" w:space="0" w:color="auto"/>
        <w:left w:val="none" w:sz="0" w:space="0" w:color="auto"/>
        <w:bottom w:val="none" w:sz="0" w:space="0" w:color="auto"/>
        <w:right w:val="none" w:sz="0" w:space="0" w:color="auto"/>
      </w:divBdr>
      <w:divsChild>
        <w:div w:id="1391227850">
          <w:marLeft w:val="0"/>
          <w:marRight w:val="0"/>
          <w:marTop w:val="0"/>
          <w:marBottom w:val="30"/>
          <w:divBdr>
            <w:top w:val="none" w:sz="0" w:space="0" w:color="auto"/>
            <w:left w:val="none" w:sz="0" w:space="0" w:color="auto"/>
            <w:bottom w:val="none" w:sz="0" w:space="0" w:color="auto"/>
            <w:right w:val="none" w:sz="0" w:space="0" w:color="auto"/>
          </w:divBdr>
        </w:div>
        <w:div w:id="1128621531">
          <w:marLeft w:val="0"/>
          <w:marRight w:val="0"/>
          <w:marTop w:val="0"/>
          <w:marBottom w:val="30"/>
          <w:divBdr>
            <w:top w:val="none" w:sz="0" w:space="0" w:color="auto"/>
            <w:left w:val="none" w:sz="0" w:space="0" w:color="auto"/>
            <w:bottom w:val="none" w:sz="0" w:space="0" w:color="auto"/>
            <w:right w:val="none" w:sz="0" w:space="0" w:color="auto"/>
          </w:divBdr>
        </w:div>
        <w:div w:id="820315737">
          <w:marLeft w:val="0"/>
          <w:marRight w:val="0"/>
          <w:marTop w:val="0"/>
          <w:marBottom w:val="30"/>
          <w:divBdr>
            <w:top w:val="none" w:sz="0" w:space="0" w:color="auto"/>
            <w:left w:val="none" w:sz="0" w:space="0" w:color="auto"/>
            <w:bottom w:val="none" w:sz="0" w:space="0" w:color="auto"/>
            <w:right w:val="none" w:sz="0" w:space="0" w:color="auto"/>
          </w:divBdr>
        </w:div>
        <w:div w:id="272060670">
          <w:marLeft w:val="0"/>
          <w:marRight w:val="0"/>
          <w:marTop w:val="0"/>
          <w:marBottom w:val="30"/>
          <w:divBdr>
            <w:top w:val="none" w:sz="0" w:space="0" w:color="auto"/>
            <w:left w:val="none" w:sz="0" w:space="0" w:color="auto"/>
            <w:bottom w:val="none" w:sz="0" w:space="0" w:color="auto"/>
            <w:right w:val="none" w:sz="0" w:space="0" w:color="auto"/>
          </w:divBdr>
        </w:div>
        <w:div w:id="821390863">
          <w:marLeft w:val="0"/>
          <w:marRight w:val="0"/>
          <w:marTop w:val="0"/>
          <w:marBottom w:val="30"/>
          <w:divBdr>
            <w:top w:val="none" w:sz="0" w:space="0" w:color="auto"/>
            <w:left w:val="none" w:sz="0" w:space="0" w:color="auto"/>
            <w:bottom w:val="none" w:sz="0" w:space="0" w:color="auto"/>
            <w:right w:val="none" w:sz="0" w:space="0" w:color="auto"/>
          </w:divBdr>
        </w:div>
      </w:divsChild>
    </w:div>
    <w:div w:id="1385525484">
      <w:bodyDiv w:val="1"/>
      <w:marLeft w:val="0"/>
      <w:marRight w:val="0"/>
      <w:marTop w:val="0"/>
      <w:marBottom w:val="0"/>
      <w:divBdr>
        <w:top w:val="none" w:sz="0" w:space="0" w:color="auto"/>
        <w:left w:val="none" w:sz="0" w:space="0" w:color="auto"/>
        <w:bottom w:val="none" w:sz="0" w:space="0" w:color="auto"/>
        <w:right w:val="none" w:sz="0" w:space="0" w:color="auto"/>
      </w:divBdr>
    </w:div>
    <w:div w:id="1395735724">
      <w:bodyDiv w:val="1"/>
      <w:marLeft w:val="0"/>
      <w:marRight w:val="0"/>
      <w:marTop w:val="0"/>
      <w:marBottom w:val="0"/>
      <w:divBdr>
        <w:top w:val="none" w:sz="0" w:space="0" w:color="auto"/>
        <w:left w:val="none" w:sz="0" w:space="0" w:color="auto"/>
        <w:bottom w:val="none" w:sz="0" w:space="0" w:color="auto"/>
        <w:right w:val="none" w:sz="0" w:space="0" w:color="auto"/>
      </w:divBdr>
    </w:div>
    <w:div w:id="1398282142">
      <w:bodyDiv w:val="1"/>
      <w:marLeft w:val="0"/>
      <w:marRight w:val="0"/>
      <w:marTop w:val="0"/>
      <w:marBottom w:val="0"/>
      <w:divBdr>
        <w:top w:val="none" w:sz="0" w:space="0" w:color="auto"/>
        <w:left w:val="none" w:sz="0" w:space="0" w:color="auto"/>
        <w:bottom w:val="none" w:sz="0" w:space="0" w:color="auto"/>
        <w:right w:val="none" w:sz="0" w:space="0" w:color="auto"/>
      </w:divBdr>
    </w:div>
    <w:div w:id="1401445368">
      <w:bodyDiv w:val="1"/>
      <w:marLeft w:val="0"/>
      <w:marRight w:val="0"/>
      <w:marTop w:val="0"/>
      <w:marBottom w:val="0"/>
      <w:divBdr>
        <w:top w:val="none" w:sz="0" w:space="0" w:color="auto"/>
        <w:left w:val="none" w:sz="0" w:space="0" w:color="auto"/>
        <w:bottom w:val="none" w:sz="0" w:space="0" w:color="auto"/>
        <w:right w:val="none" w:sz="0" w:space="0" w:color="auto"/>
      </w:divBdr>
    </w:div>
    <w:div w:id="1403792683">
      <w:bodyDiv w:val="1"/>
      <w:marLeft w:val="0"/>
      <w:marRight w:val="0"/>
      <w:marTop w:val="0"/>
      <w:marBottom w:val="0"/>
      <w:divBdr>
        <w:top w:val="none" w:sz="0" w:space="0" w:color="auto"/>
        <w:left w:val="none" w:sz="0" w:space="0" w:color="auto"/>
        <w:bottom w:val="none" w:sz="0" w:space="0" w:color="auto"/>
        <w:right w:val="none" w:sz="0" w:space="0" w:color="auto"/>
      </w:divBdr>
    </w:div>
    <w:div w:id="1411540309">
      <w:bodyDiv w:val="1"/>
      <w:marLeft w:val="0"/>
      <w:marRight w:val="0"/>
      <w:marTop w:val="0"/>
      <w:marBottom w:val="0"/>
      <w:divBdr>
        <w:top w:val="none" w:sz="0" w:space="0" w:color="auto"/>
        <w:left w:val="none" w:sz="0" w:space="0" w:color="auto"/>
        <w:bottom w:val="none" w:sz="0" w:space="0" w:color="auto"/>
        <w:right w:val="none" w:sz="0" w:space="0" w:color="auto"/>
      </w:divBdr>
    </w:div>
    <w:div w:id="1428305908">
      <w:bodyDiv w:val="1"/>
      <w:marLeft w:val="0"/>
      <w:marRight w:val="0"/>
      <w:marTop w:val="0"/>
      <w:marBottom w:val="0"/>
      <w:divBdr>
        <w:top w:val="none" w:sz="0" w:space="0" w:color="auto"/>
        <w:left w:val="none" w:sz="0" w:space="0" w:color="auto"/>
        <w:bottom w:val="none" w:sz="0" w:space="0" w:color="auto"/>
        <w:right w:val="none" w:sz="0" w:space="0" w:color="auto"/>
      </w:divBdr>
    </w:div>
    <w:div w:id="1434789976">
      <w:bodyDiv w:val="1"/>
      <w:marLeft w:val="0"/>
      <w:marRight w:val="0"/>
      <w:marTop w:val="0"/>
      <w:marBottom w:val="0"/>
      <w:divBdr>
        <w:top w:val="none" w:sz="0" w:space="0" w:color="auto"/>
        <w:left w:val="none" w:sz="0" w:space="0" w:color="auto"/>
        <w:bottom w:val="none" w:sz="0" w:space="0" w:color="auto"/>
        <w:right w:val="none" w:sz="0" w:space="0" w:color="auto"/>
      </w:divBdr>
    </w:div>
    <w:div w:id="1458992098">
      <w:bodyDiv w:val="1"/>
      <w:marLeft w:val="0"/>
      <w:marRight w:val="0"/>
      <w:marTop w:val="0"/>
      <w:marBottom w:val="0"/>
      <w:divBdr>
        <w:top w:val="none" w:sz="0" w:space="0" w:color="auto"/>
        <w:left w:val="none" w:sz="0" w:space="0" w:color="auto"/>
        <w:bottom w:val="none" w:sz="0" w:space="0" w:color="auto"/>
        <w:right w:val="none" w:sz="0" w:space="0" w:color="auto"/>
      </w:divBdr>
    </w:div>
    <w:div w:id="1496338269">
      <w:bodyDiv w:val="1"/>
      <w:marLeft w:val="0"/>
      <w:marRight w:val="0"/>
      <w:marTop w:val="0"/>
      <w:marBottom w:val="0"/>
      <w:divBdr>
        <w:top w:val="none" w:sz="0" w:space="0" w:color="auto"/>
        <w:left w:val="none" w:sz="0" w:space="0" w:color="auto"/>
        <w:bottom w:val="none" w:sz="0" w:space="0" w:color="auto"/>
        <w:right w:val="none" w:sz="0" w:space="0" w:color="auto"/>
      </w:divBdr>
    </w:div>
    <w:div w:id="1500652968">
      <w:bodyDiv w:val="1"/>
      <w:marLeft w:val="0"/>
      <w:marRight w:val="0"/>
      <w:marTop w:val="0"/>
      <w:marBottom w:val="0"/>
      <w:divBdr>
        <w:top w:val="none" w:sz="0" w:space="0" w:color="auto"/>
        <w:left w:val="none" w:sz="0" w:space="0" w:color="auto"/>
        <w:bottom w:val="none" w:sz="0" w:space="0" w:color="auto"/>
        <w:right w:val="none" w:sz="0" w:space="0" w:color="auto"/>
      </w:divBdr>
    </w:div>
    <w:div w:id="1518233240">
      <w:bodyDiv w:val="1"/>
      <w:marLeft w:val="0"/>
      <w:marRight w:val="0"/>
      <w:marTop w:val="0"/>
      <w:marBottom w:val="0"/>
      <w:divBdr>
        <w:top w:val="none" w:sz="0" w:space="0" w:color="auto"/>
        <w:left w:val="none" w:sz="0" w:space="0" w:color="auto"/>
        <w:bottom w:val="none" w:sz="0" w:space="0" w:color="auto"/>
        <w:right w:val="none" w:sz="0" w:space="0" w:color="auto"/>
      </w:divBdr>
    </w:div>
    <w:div w:id="1519543656">
      <w:bodyDiv w:val="1"/>
      <w:marLeft w:val="0"/>
      <w:marRight w:val="0"/>
      <w:marTop w:val="0"/>
      <w:marBottom w:val="0"/>
      <w:divBdr>
        <w:top w:val="none" w:sz="0" w:space="0" w:color="auto"/>
        <w:left w:val="none" w:sz="0" w:space="0" w:color="auto"/>
        <w:bottom w:val="none" w:sz="0" w:space="0" w:color="auto"/>
        <w:right w:val="none" w:sz="0" w:space="0" w:color="auto"/>
      </w:divBdr>
    </w:div>
    <w:div w:id="1536624040">
      <w:bodyDiv w:val="1"/>
      <w:marLeft w:val="0"/>
      <w:marRight w:val="0"/>
      <w:marTop w:val="0"/>
      <w:marBottom w:val="0"/>
      <w:divBdr>
        <w:top w:val="none" w:sz="0" w:space="0" w:color="auto"/>
        <w:left w:val="none" w:sz="0" w:space="0" w:color="auto"/>
        <w:bottom w:val="none" w:sz="0" w:space="0" w:color="auto"/>
        <w:right w:val="none" w:sz="0" w:space="0" w:color="auto"/>
      </w:divBdr>
    </w:div>
    <w:div w:id="1541892595">
      <w:bodyDiv w:val="1"/>
      <w:marLeft w:val="0"/>
      <w:marRight w:val="0"/>
      <w:marTop w:val="0"/>
      <w:marBottom w:val="0"/>
      <w:divBdr>
        <w:top w:val="none" w:sz="0" w:space="0" w:color="auto"/>
        <w:left w:val="none" w:sz="0" w:space="0" w:color="auto"/>
        <w:bottom w:val="none" w:sz="0" w:space="0" w:color="auto"/>
        <w:right w:val="none" w:sz="0" w:space="0" w:color="auto"/>
      </w:divBdr>
    </w:div>
    <w:div w:id="1569655268">
      <w:bodyDiv w:val="1"/>
      <w:marLeft w:val="0"/>
      <w:marRight w:val="0"/>
      <w:marTop w:val="0"/>
      <w:marBottom w:val="0"/>
      <w:divBdr>
        <w:top w:val="none" w:sz="0" w:space="0" w:color="auto"/>
        <w:left w:val="none" w:sz="0" w:space="0" w:color="auto"/>
        <w:bottom w:val="none" w:sz="0" w:space="0" w:color="auto"/>
        <w:right w:val="none" w:sz="0" w:space="0" w:color="auto"/>
      </w:divBdr>
    </w:div>
    <w:div w:id="1576086607">
      <w:bodyDiv w:val="1"/>
      <w:marLeft w:val="0"/>
      <w:marRight w:val="0"/>
      <w:marTop w:val="0"/>
      <w:marBottom w:val="0"/>
      <w:divBdr>
        <w:top w:val="none" w:sz="0" w:space="0" w:color="auto"/>
        <w:left w:val="none" w:sz="0" w:space="0" w:color="auto"/>
        <w:bottom w:val="none" w:sz="0" w:space="0" w:color="auto"/>
        <w:right w:val="none" w:sz="0" w:space="0" w:color="auto"/>
      </w:divBdr>
    </w:div>
    <w:div w:id="1607696131">
      <w:bodyDiv w:val="1"/>
      <w:marLeft w:val="0"/>
      <w:marRight w:val="0"/>
      <w:marTop w:val="0"/>
      <w:marBottom w:val="0"/>
      <w:divBdr>
        <w:top w:val="none" w:sz="0" w:space="0" w:color="auto"/>
        <w:left w:val="none" w:sz="0" w:space="0" w:color="auto"/>
        <w:bottom w:val="none" w:sz="0" w:space="0" w:color="auto"/>
        <w:right w:val="none" w:sz="0" w:space="0" w:color="auto"/>
      </w:divBdr>
    </w:div>
    <w:div w:id="1622954696">
      <w:bodyDiv w:val="1"/>
      <w:marLeft w:val="0"/>
      <w:marRight w:val="0"/>
      <w:marTop w:val="0"/>
      <w:marBottom w:val="0"/>
      <w:divBdr>
        <w:top w:val="none" w:sz="0" w:space="0" w:color="auto"/>
        <w:left w:val="none" w:sz="0" w:space="0" w:color="auto"/>
        <w:bottom w:val="none" w:sz="0" w:space="0" w:color="auto"/>
        <w:right w:val="none" w:sz="0" w:space="0" w:color="auto"/>
      </w:divBdr>
    </w:div>
    <w:div w:id="1639609188">
      <w:bodyDiv w:val="1"/>
      <w:marLeft w:val="0"/>
      <w:marRight w:val="0"/>
      <w:marTop w:val="0"/>
      <w:marBottom w:val="0"/>
      <w:divBdr>
        <w:top w:val="none" w:sz="0" w:space="0" w:color="auto"/>
        <w:left w:val="none" w:sz="0" w:space="0" w:color="auto"/>
        <w:bottom w:val="none" w:sz="0" w:space="0" w:color="auto"/>
        <w:right w:val="none" w:sz="0" w:space="0" w:color="auto"/>
      </w:divBdr>
    </w:div>
    <w:div w:id="1654604002">
      <w:bodyDiv w:val="1"/>
      <w:marLeft w:val="0"/>
      <w:marRight w:val="0"/>
      <w:marTop w:val="0"/>
      <w:marBottom w:val="0"/>
      <w:divBdr>
        <w:top w:val="none" w:sz="0" w:space="0" w:color="auto"/>
        <w:left w:val="none" w:sz="0" w:space="0" w:color="auto"/>
        <w:bottom w:val="none" w:sz="0" w:space="0" w:color="auto"/>
        <w:right w:val="none" w:sz="0" w:space="0" w:color="auto"/>
      </w:divBdr>
    </w:div>
    <w:div w:id="1658144475">
      <w:bodyDiv w:val="1"/>
      <w:marLeft w:val="0"/>
      <w:marRight w:val="0"/>
      <w:marTop w:val="0"/>
      <w:marBottom w:val="0"/>
      <w:divBdr>
        <w:top w:val="none" w:sz="0" w:space="0" w:color="auto"/>
        <w:left w:val="none" w:sz="0" w:space="0" w:color="auto"/>
        <w:bottom w:val="none" w:sz="0" w:space="0" w:color="auto"/>
        <w:right w:val="none" w:sz="0" w:space="0" w:color="auto"/>
      </w:divBdr>
    </w:div>
    <w:div w:id="1709715772">
      <w:bodyDiv w:val="1"/>
      <w:marLeft w:val="0"/>
      <w:marRight w:val="0"/>
      <w:marTop w:val="0"/>
      <w:marBottom w:val="0"/>
      <w:divBdr>
        <w:top w:val="none" w:sz="0" w:space="0" w:color="auto"/>
        <w:left w:val="none" w:sz="0" w:space="0" w:color="auto"/>
        <w:bottom w:val="none" w:sz="0" w:space="0" w:color="auto"/>
        <w:right w:val="none" w:sz="0" w:space="0" w:color="auto"/>
      </w:divBdr>
    </w:div>
    <w:div w:id="1726951906">
      <w:bodyDiv w:val="1"/>
      <w:marLeft w:val="0"/>
      <w:marRight w:val="0"/>
      <w:marTop w:val="0"/>
      <w:marBottom w:val="0"/>
      <w:divBdr>
        <w:top w:val="none" w:sz="0" w:space="0" w:color="auto"/>
        <w:left w:val="none" w:sz="0" w:space="0" w:color="auto"/>
        <w:bottom w:val="none" w:sz="0" w:space="0" w:color="auto"/>
        <w:right w:val="none" w:sz="0" w:space="0" w:color="auto"/>
      </w:divBdr>
    </w:div>
    <w:div w:id="1752775709">
      <w:bodyDiv w:val="1"/>
      <w:marLeft w:val="0"/>
      <w:marRight w:val="0"/>
      <w:marTop w:val="0"/>
      <w:marBottom w:val="0"/>
      <w:divBdr>
        <w:top w:val="none" w:sz="0" w:space="0" w:color="auto"/>
        <w:left w:val="none" w:sz="0" w:space="0" w:color="auto"/>
        <w:bottom w:val="none" w:sz="0" w:space="0" w:color="auto"/>
        <w:right w:val="none" w:sz="0" w:space="0" w:color="auto"/>
      </w:divBdr>
    </w:div>
    <w:div w:id="1758476871">
      <w:bodyDiv w:val="1"/>
      <w:marLeft w:val="0"/>
      <w:marRight w:val="0"/>
      <w:marTop w:val="0"/>
      <w:marBottom w:val="0"/>
      <w:divBdr>
        <w:top w:val="none" w:sz="0" w:space="0" w:color="auto"/>
        <w:left w:val="none" w:sz="0" w:space="0" w:color="auto"/>
        <w:bottom w:val="none" w:sz="0" w:space="0" w:color="auto"/>
        <w:right w:val="none" w:sz="0" w:space="0" w:color="auto"/>
      </w:divBdr>
    </w:div>
    <w:div w:id="1760562311">
      <w:bodyDiv w:val="1"/>
      <w:marLeft w:val="0"/>
      <w:marRight w:val="0"/>
      <w:marTop w:val="0"/>
      <w:marBottom w:val="0"/>
      <w:divBdr>
        <w:top w:val="none" w:sz="0" w:space="0" w:color="auto"/>
        <w:left w:val="none" w:sz="0" w:space="0" w:color="auto"/>
        <w:bottom w:val="none" w:sz="0" w:space="0" w:color="auto"/>
        <w:right w:val="none" w:sz="0" w:space="0" w:color="auto"/>
      </w:divBdr>
    </w:div>
    <w:div w:id="1775904703">
      <w:bodyDiv w:val="1"/>
      <w:marLeft w:val="0"/>
      <w:marRight w:val="0"/>
      <w:marTop w:val="0"/>
      <w:marBottom w:val="0"/>
      <w:divBdr>
        <w:top w:val="none" w:sz="0" w:space="0" w:color="auto"/>
        <w:left w:val="none" w:sz="0" w:space="0" w:color="auto"/>
        <w:bottom w:val="none" w:sz="0" w:space="0" w:color="auto"/>
        <w:right w:val="none" w:sz="0" w:space="0" w:color="auto"/>
      </w:divBdr>
    </w:div>
    <w:div w:id="1780442457">
      <w:bodyDiv w:val="1"/>
      <w:marLeft w:val="0"/>
      <w:marRight w:val="0"/>
      <w:marTop w:val="0"/>
      <w:marBottom w:val="0"/>
      <w:divBdr>
        <w:top w:val="none" w:sz="0" w:space="0" w:color="auto"/>
        <w:left w:val="none" w:sz="0" w:space="0" w:color="auto"/>
        <w:bottom w:val="none" w:sz="0" w:space="0" w:color="auto"/>
        <w:right w:val="none" w:sz="0" w:space="0" w:color="auto"/>
      </w:divBdr>
    </w:div>
    <w:div w:id="1792439364">
      <w:bodyDiv w:val="1"/>
      <w:marLeft w:val="0"/>
      <w:marRight w:val="0"/>
      <w:marTop w:val="0"/>
      <w:marBottom w:val="0"/>
      <w:divBdr>
        <w:top w:val="none" w:sz="0" w:space="0" w:color="auto"/>
        <w:left w:val="none" w:sz="0" w:space="0" w:color="auto"/>
        <w:bottom w:val="none" w:sz="0" w:space="0" w:color="auto"/>
        <w:right w:val="none" w:sz="0" w:space="0" w:color="auto"/>
      </w:divBdr>
    </w:div>
    <w:div w:id="1823427348">
      <w:bodyDiv w:val="1"/>
      <w:marLeft w:val="0"/>
      <w:marRight w:val="0"/>
      <w:marTop w:val="0"/>
      <w:marBottom w:val="0"/>
      <w:divBdr>
        <w:top w:val="none" w:sz="0" w:space="0" w:color="auto"/>
        <w:left w:val="none" w:sz="0" w:space="0" w:color="auto"/>
        <w:bottom w:val="none" w:sz="0" w:space="0" w:color="auto"/>
        <w:right w:val="none" w:sz="0" w:space="0" w:color="auto"/>
      </w:divBdr>
    </w:div>
    <w:div w:id="1835296262">
      <w:bodyDiv w:val="1"/>
      <w:marLeft w:val="0"/>
      <w:marRight w:val="0"/>
      <w:marTop w:val="0"/>
      <w:marBottom w:val="0"/>
      <w:divBdr>
        <w:top w:val="none" w:sz="0" w:space="0" w:color="auto"/>
        <w:left w:val="none" w:sz="0" w:space="0" w:color="auto"/>
        <w:bottom w:val="none" w:sz="0" w:space="0" w:color="auto"/>
        <w:right w:val="none" w:sz="0" w:space="0" w:color="auto"/>
      </w:divBdr>
    </w:div>
    <w:div w:id="1854683027">
      <w:bodyDiv w:val="1"/>
      <w:marLeft w:val="0"/>
      <w:marRight w:val="0"/>
      <w:marTop w:val="0"/>
      <w:marBottom w:val="0"/>
      <w:divBdr>
        <w:top w:val="none" w:sz="0" w:space="0" w:color="auto"/>
        <w:left w:val="none" w:sz="0" w:space="0" w:color="auto"/>
        <w:bottom w:val="none" w:sz="0" w:space="0" w:color="auto"/>
        <w:right w:val="none" w:sz="0" w:space="0" w:color="auto"/>
      </w:divBdr>
    </w:div>
    <w:div w:id="1894196233">
      <w:bodyDiv w:val="1"/>
      <w:marLeft w:val="0"/>
      <w:marRight w:val="0"/>
      <w:marTop w:val="0"/>
      <w:marBottom w:val="0"/>
      <w:divBdr>
        <w:top w:val="none" w:sz="0" w:space="0" w:color="auto"/>
        <w:left w:val="none" w:sz="0" w:space="0" w:color="auto"/>
        <w:bottom w:val="none" w:sz="0" w:space="0" w:color="auto"/>
        <w:right w:val="none" w:sz="0" w:space="0" w:color="auto"/>
      </w:divBdr>
    </w:div>
    <w:div w:id="1902788512">
      <w:bodyDiv w:val="1"/>
      <w:marLeft w:val="0"/>
      <w:marRight w:val="0"/>
      <w:marTop w:val="0"/>
      <w:marBottom w:val="0"/>
      <w:divBdr>
        <w:top w:val="none" w:sz="0" w:space="0" w:color="auto"/>
        <w:left w:val="none" w:sz="0" w:space="0" w:color="auto"/>
        <w:bottom w:val="none" w:sz="0" w:space="0" w:color="auto"/>
        <w:right w:val="none" w:sz="0" w:space="0" w:color="auto"/>
      </w:divBdr>
    </w:div>
    <w:div w:id="1906255828">
      <w:bodyDiv w:val="1"/>
      <w:marLeft w:val="0"/>
      <w:marRight w:val="0"/>
      <w:marTop w:val="0"/>
      <w:marBottom w:val="0"/>
      <w:divBdr>
        <w:top w:val="none" w:sz="0" w:space="0" w:color="auto"/>
        <w:left w:val="none" w:sz="0" w:space="0" w:color="auto"/>
        <w:bottom w:val="none" w:sz="0" w:space="0" w:color="auto"/>
        <w:right w:val="none" w:sz="0" w:space="0" w:color="auto"/>
      </w:divBdr>
    </w:div>
    <w:div w:id="1927834582">
      <w:bodyDiv w:val="1"/>
      <w:marLeft w:val="0"/>
      <w:marRight w:val="0"/>
      <w:marTop w:val="0"/>
      <w:marBottom w:val="0"/>
      <w:divBdr>
        <w:top w:val="none" w:sz="0" w:space="0" w:color="auto"/>
        <w:left w:val="none" w:sz="0" w:space="0" w:color="auto"/>
        <w:bottom w:val="none" w:sz="0" w:space="0" w:color="auto"/>
        <w:right w:val="none" w:sz="0" w:space="0" w:color="auto"/>
      </w:divBdr>
    </w:div>
    <w:div w:id="1932397477">
      <w:bodyDiv w:val="1"/>
      <w:marLeft w:val="0"/>
      <w:marRight w:val="0"/>
      <w:marTop w:val="0"/>
      <w:marBottom w:val="0"/>
      <w:divBdr>
        <w:top w:val="none" w:sz="0" w:space="0" w:color="auto"/>
        <w:left w:val="none" w:sz="0" w:space="0" w:color="auto"/>
        <w:bottom w:val="none" w:sz="0" w:space="0" w:color="auto"/>
        <w:right w:val="none" w:sz="0" w:space="0" w:color="auto"/>
      </w:divBdr>
    </w:div>
    <w:div w:id="1944611683">
      <w:bodyDiv w:val="1"/>
      <w:marLeft w:val="0"/>
      <w:marRight w:val="0"/>
      <w:marTop w:val="0"/>
      <w:marBottom w:val="0"/>
      <w:divBdr>
        <w:top w:val="none" w:sz="0" w:space="0" w:color="auto"/>
        <w:left w:val="none" w:sz="0" w:space="0" w:color="auto"/>
        <w:bottom w:val="none" w:sz="0" w:space="0" w:color="auto"/>
        <w:right w:val="none" w:sz="0" w:space="0" w:color="auto"/>
      </w:divBdr>
    </w:div>
    <w:div w:id="1945650389">
      <w:bodyDiv w:val="1"/>
      <w:marLeft w:val="0"/>
      <w:marRight w:val="0"/>
      <w:marTop w:val="0"/>
      <w:marBottom w:val="0"/>
      <w:divBdr>
        <w:top w:val="none" w:sz="0" w:space="0" w:color="auto"/>
        <w:left w:val="none" w:sz="0" w:space="0" w:color="auto"/>
        <w:bottom w:val="none" w:sz="0" w:space="0" w:color="auto"/>
        <w:right w:val="none" w:sz="0" w:space="0" w:color="auto"/>
      </w:divBdr>
    </w:div>
    <w:div w:id="1952585739">
      <w:bodyDiv w:val="1"/>
      <w:marLeft w:val="0"/>
      <w:marRight w:val="0"/>
      <w:marTop w:val="0"/>
      <w:marBottom w:val="0"/>
      <w:divBdr>
        <w:top w:val="none" w:sz="0" w:space="0" w:color="auto"/>
        <w:left w:val="none" w:sz="0" w:space="0" w:color="auto"/>
        <w:bottom w:val="none" w:sz="0" w:space="0" w:color="auto"/>
        <w:right w:val="none" w:sz="0" w:space="0" w:color="auto"/>
      </w:divBdr>
    </w:div>
    <w:div w:id="1971738240">
      <w:bodyDiv w:val="1"/>
      <w:marLeft w:val="0"/>
      <w:marRight w:val="0"/>
      <w:marTop w:val="0"/>
      <w:marBottom w:val="0"/>
      <w:divBdr>
        <w:top w:val="none" w:sz="0" w:space="0" w:color="auto"/>
        <w:left w:val="none" w:sz="0" w:space="0" w:color="auto"/>
        <w:bottom w:val="none" w:sz="0" w:space="0" w:color="auto"/>
        <w:right w:val="none" w:sz="0" w:space="0" w:color="auto"/>
      </w:divBdr>
    </w:div>
    <w:div w:id="1984462109">
      <w:bodyDiv w:val="1"/>
      <w:marLeft w:val="0"/>
      <w:marRight w:val="0"/>
      <w:marTop w:val="0"/>
      <w:marBottom w:val="0"/>
      <w:divBdr>
        <w:top w:val="none" w:sz="0" w:space="0" w:color="auto"/>
        <w:left w:val="none" w:sz="0" w:space="0" w:color="auto"/>
        <w:bottom w:val="none" w:sz="0" w:space="0" w:color="auto"/>
        <w:right w:val="none" w:sz="0" w:space="0" w:color="auto"/>
      </w:divBdr>
    </w:div>
    <w:div w:id="1987127119">
      <w:bodyDiv w:val="1"/>
      <w:marLeft w:val="0"/>
      <w:marRight w:val="0"/>
      <w:marTop w:val="0"/>
      <w:marBottom w:val="0"/>
      <w:divBdr>
        <w:top w:val="none" w:sz="0" w:space="0" w:color="auto"/>
        <w:left w:val="none" w:sz="0" w:space="0" w:color="auto"/>
        <w:bottom w:val="none" w:sz="0" w:space="0" w:color="auto"/>
        <w:right w:val="none" w:sz="0" w:space="0" w:color="auto"/>
      </w:divBdr>
    </w:div>
    <w:div w:id="2007127158">
      <w:bodyDiv w:val="1"/>
      <w:marLeft w:val="0"/>
      <w:marRight w:val="0"/>
      <w:marTop w:val="0"/>
      <w:marBottom w:val="0"/>
      <w:divBdr>
        <w:top w:val="none" w:sz="0" w:space="0" w:color="auto"/>
        <w:left w:val="none" w:sz="0" w:space="0" w:color="auto"/>
        <w:bottom w:val="none" w:sz="0" w:space="0" w:color="auto"/>
        <w:right w:val="none" w:sz="0" w:space="0" w:color="auto"/>
      </w:divBdr>
    </w:div>
    <w:div w:id="2040202297">
      <w:bodyDiv w:val="1"/>
      <w:marLeft w:val="0"/>
      <w:marRight w:val="0"/>
      <w:marTop w:val="0"/>
      <w:marBottom w:val="0"/>
      <w:divBdr>
        <w:top w:val="none" w:sz="0" w:space="0" w:color="auto"/>
        <w:left w:val="none" w:sz="0" w:space="0" w:color="auto"/>
        <w:bottom w:val="none" w:sz="0" w:space="0" w:color="auto"/>
        <w:right w:val="none" w:sz="0" w:space="0" w:color="auto"/>
      </w:divBdr>
      <w:divsChild>
        <w:div w:id="606888039">
          <w:marLeft w:val="0"/>
          <w:marRight w:val="0"/>
          <w:marTop w:val="0"/>
          <w:marBottom w:val="0"/>
          <w:divBdr>
            <w:top w:val="none" w:sz="0" w:space="0" w:color="auto"/>
            <w:left w:val="none" w:sz="0" w:space="0" w:color="auto"/>
            <w:bottom w:val="none" w:sz="0" w:space="0" w:color="auto"/>
            <w:right w:val="none" w:sz="0" w:space="0" w:color="auto"/>
          </w:divBdr>
        </w:div>
        <w:div w:id="1956254462">
          <w:marLeft w:val="0"/>
          <w:marRight w:val="0"/>
          <w:marTop w:val="0"/>
          <w:marBottom w:val="0"/>
          <w:divBdr>
            <w:top w:val="none" w:sz="0" w:space="0" w:color="auto"/>
            <w:left w:val="none" w:sz="0" w:space="0" w:color="auto"/>
            <w:bottom w:val="none" w:sz="0" w:space="0" w:color="auto"/>
            <w:right w:val="none" w:sz="0" w:space="0" w:color="auto"/>
          </w:divBdr>
        </w:div>
        <w:div w:id="734860900">
          <w:marLeft w:val="0"/>
          <w:marRight w:val="0"/>
          <w:marTop w:val="0"/>
          <w:marBottom w:val="0"/>
          <w:divBdr>
            <w:top w:val="none" w:sz="0" w:space="0" w:color="auto"/>
            <w:left w:val="none" w:sz="0" w:space="0" w:color="auto"/>
            <w:bottom w:val="none" w:sz="0" w:space="0" w:color="auto"/>
            <w:right w:val="none" w:sz="0" w:space="0" w:color="auto"/>
          </w:divBdr>
        </w:div>
        <w:div w:id="343089701">
          <w:marLeft w:val="0"/>
          <w:marRight w:val="0"/>
          <w:marTop w:val="0"/>
          <w:marBottom w:val="0"/>
          <w:divBdr>
            <w:top w:val="none" w:sz="0" w:space="0" w:color="auto"/>
            <w:left w:val="none" w:sz="0" w:space="0" w:color="auto"/>
            <w:bottom w:val="none" w:sz="0" w:space="0" w:color="auto"/>
            <w:right w:val="none" w:sz="0" w:space="0" w:color="auto"/>
          </w:divBdr>
        </w:div>
      </w:divsChild>
    </w:div>
    <w:div w:id="2052340042">
      <w:bodyDiv w:val="1"/>
      <w:marLeft w:val="0"/>
      <w:marRight w:val="0"/>
      <w:marTop w:val="0"/>
      <w:marBottom w:val="0"/>
      <w:divBdr>
        <w:top w:val="none" w:sz="0" w:space="0" w:color="auto"/>
        <w:left w:val="none" w:sz="0" w:space="0" w:color="auto"/>
        <w:bottom w:val="none" w:sz="0" w:space="0" w:color="auto"/>
        <w:right w:val="none" w:sz="0" w:space="0" w:color="auto"/>
      </w:divBdr>
    </w:div>
    <w:div w:id="2056467167">
      <w:bodyDiv w:val="1"/>
      <w:marLeft w:val="0"/>
      <w:marRight w:val="0"/>
      <w:marTop w:val="0"/>
      <w:marBottom w:val="0"/>
      <w:divBdr>
        <w:top w:val="none" w:sz="0" w:space="0" w:color="auto"/>
        <w:left w:val="none" w:sz="0" w:space="0" w:color="auto"/>
        <w:bottom w:val="none" w:sz="0" w:space="0" w:color="auto"/>
        <w:right w:val="none" w:sz="0" w:space="0" w:color="auto"/>
      </w:divBdr>
    </w:div>
    <w:div w:id="2077362195">
      <w:bodyDiv w:val="1"/>
      <w:marLeft w:val="0"/>
      <w:marRight w:val="0"/>
      <w:marTop w:val="0"/>
      <w:marBottom w:val="0"/>
      <w:divBdr>
        <w:top w:val="none" w:sz="0" w:space="0" w:color="auto"/>
        <w:left w:val="none" w:sz="0" w:space="0" w:color="auto"/>
        <w:bottom w:val="none" w:sz="0" w:space="0" w:color="auto"/>
        <w:right w:val="none" w:sz="0" w:space="0" w:color="auto"/>
      </w:divBdr>
    </w:div>
    <w:div w:id="2087800938">
      <w:bodyDiv w:val="1"/>
      <w:marLeft w:val="0"/>
      <w:marRight w:val="0"/>
      <w:marTop w:val="0"/>
      <w:marBottom w:val="0"/>
      <w:divBdr>
        <w:top w:val="none" w:sz="0" w:space="0" w:color="auto"/>
        <w:left w:val="none" w:sz="0" w:space="0" w:color="auto"/>
        <w:bottom w:val="none" w:sz="0" w:space="0" w:color="auto"/>
        <w:right w:val="none" w:sz="0" w:space="0" w:color="auto"/>
      </w:divBdr>
    </w:div>
    <w:div w:id="2089492852">
      <w:bodyDiv w:val="1"/>
      <w:marLeft w:val="0"/>
      <w:marRight w:val="0"/>
      <w:marTop w:val="0"/>
      <w:marBottom w:val="0"/>
      <w:divBdr>
        <w:top w:val="none" w:sz="0" w:space="0" w:color="auto"/>
        <w:left w:val="none" w:sz="0" w:space="0" w:color="auto"/>
        <w:bottom w:val="none" w:sz="0" w:space="0" w:color="auto"/>
        <w:right w:val="none" w:sz="0" w:space="0" w:color="auto"/>
      </w:divBdr>
    </w:div>
    <w:div w:id="2089493686">
      <w:bodyDiv w:val="1"/>
      <w:marLeft w:val="0"/>
      <w:marRight w:val="0"/>
      <w:marTop w:val="0"/>
      <w:marBottom w:val="0"/>
      <w:divBdr>
        <w:top w:val="none" w:sz="0" w:space="0" w:color="auto"/>
        <w:left w:val="none" w:sz="0" w:space="0" w:color="auto"/>
        <w:bottom w:val="none" w:sz="0" w:space="0" w:color="auto"/>
        <w:right w:val="none" w:sz="0" w:space="0" w:color="auto"/>
      </w:divBdr>
    </w:div>
    <w:div w:id="2121799388">
      <w:bodyDiv w:val="1"/>
      <w:marLeft w:val="0"/>
      <w:marRight w:val="0"/>
      <w:marTop w:val="0"/>
      <w:marBottom w:val="0"/>
      <w:divBdr>
        <w:top w:val="none" w:sz="0" w:space="0" w:color="auto"/>
        <w:left w:val="none" w:sz="0" w:space="0" w:color="auto"/>
        <w:bottom w:val="none" w:sz="0" w:space="0" w:color="auto"/>
        <w:right w:val="none" w:sz="0" w:space="0" w:color="auto"/>
      </w:divBdr>
    </w:div>
    <w:div w:id="2123302507">
      <w:bodyDiv w:val="1"/>
      <w:marLeft w:val="0"/>
      <w:marRight w:val="0"/>
      <w:marTop w:val="0"/>
      <w:marBottom w:val="0"/>
      <w:divBdr>
        <w:top w:val="none" w:sz="0" w:space="0" w:color="auto"/>
        <w:left w:val="none" w:sz="0" w:space="0" w:color="auto"/>
        <w:bottom w:val="none" w:sz="0" w:space="0" w:color="auto"/>
        <w:right w:val="none" w:sz="0" w:space="0" w:color="auto"/>
      </w:divBdr>
    </w:div>
    <w:div w:id="21419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8042/cepc/rap.211.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2141-FAB1-4158-BEC0-E3EBE6C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9057</Words>
  <Characters>49815</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Gómez Barboza</dc:creator>
  <cp:keywords/>
  <dc:description/>
  <cp:lastModifiedBy>Francisca Rojas Garrido</cp:lastModifiedBy>
  <cp:revision>1</cp:revision>
  <dcterms:created xsi:type="dcterms:W3CDTF">2021-12-15T18:54:00Z</dcterms:created>
  <dcterms:modified xsi:type="dcterms:W3CDTF">2021-12-21T13:05:00Z</dcterms:modified>
</cp:coreProperties>
</file>