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72B5" w14:textId="33FE98BD" w:rsidR="004A0E2F" w:rsidRDefault="004A0E2F" w:rsidP="00C56A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Alergias alimentarias.</w:t>
      </w:r>
    </w:p>
    <w:p w14:paraId="60C9E574" w14:textId="3E336F80" w:rsidR="0070437C" w:rsidRPr="00AA15F1" w:rsidRDefault="004A0E2F" w:rsidP="00C56ADF">
      <w:pPr>
        <w:jc w:val="both"/>
        <w:rPr>
          <w:rFonts w:ascii="Verdana" w:hAnsi="Verdana"/>
          <w:b/>
          <w:bCs/>
          <w:sz w:val="24"/>
          <w:szCs w:val="24"/>
        </w:rPr>
      </w:pPr>
      <w:r w:rsidRPr="00AA15F1">
        <w:rPr>
          <w:rFonts w:ascii="Verdana" w:hAnsi="Verdana"/>
          <w:b/>
          <w:bCs/>
          <w:sz w:val="24"/>
          <w:szCs w:val="24"/>
        </w:rPr>
        <w:t xml:space="preserve">Proyecto de ley establece </w:t>
      </w:r>
      <w:r w:rsidR="000E5D2C" w:rsidRPr="00AA15F1">
        <w:rPr>
          <w:rFonts w:ascii="Verdana" w:hAnsi="Verdana"/>
          <w:b/>
          <w:bCs/>
          <w:sz w:val="24"/>
          <w:szCs w:val="24"/>
        </w:rPr>
        <w:t xml:space="preserve">la </w:t>
      </w:r>
      <w:r w:rsidRPr="00AA15F1">
        <w:rPr>
          <w:rFonts w:ascii="Verdana" w:hAnsi="Verdana"/>
          <w:b/>
          <w:bCs/>
          <w:sz w:val="24"/>
          <w:szCs w:val="24"/>
        </w:rPr>
        <w:t xml:space="preserve">obligación </w:t>
      </w:r>
      <w:r w:rsidR="003019B8" w:rsidRPr="00AA15F1">
        <w:rPr>
          <w:rFonts w:ascii="Verdana" w:hAnsi="Verdana"/>
          <w:b/>
          <w:bCs/>
          <w:sz w:val="24"/>
          <w:szCs w:val="24"/>
        </w:rPr>
        <w:t xml:space="preserve">de informar </w:t>
      </w:r>
      <w:r w:rsidR="00AA15F1" w:rsidRPr="00AA15F1">
        <w:rPr>
          <w:rFonts w:ascii="Verdana" w:hAnsi="Verdana"/>
          <w:b/>
          <w:bCs/>
          <w:sz w:val="24"/>
          <w:szCs w:val="24"/>
        </w:rPr>
        <w:t>la totalidad de los ingredientes usados en las preparaciones de la industria gastronómica y alimentaria.</w:t>
      </w:r>
    </w:p>
    <w:p w14:paraId="43E23406" w14:textId="56D3FCEE" w:rsidR="00293041" w:rsidRPr="00293041" w:rsidRDefault="00293041" w:rsidP="00C56ADF">
      <w:pPr>
        <w:jc w:val="both"/>
        <w:rPr>
          <w:rFonts w:ascii="Verdana" w:hAnsi="Verdana"/>
          <w:i/>
          <w:iCs/>
          <w:sz w:val="24"/>
          <w:szCs w:val="24"/>
        </w:rPr>
      </w:pPr>
      <w:r w:rsidRPr="00293041">
        <w:rPr>
          <w:rFonts w:ascii="Verdana" w:hAnsi="Verdana"/>
          <w:i/>
          <w:iCs/>
          <w:sz w:val="24"/>
          <w:szCs w:val="24"/>
        </w:rPr>
        <w:t xml:space="preserve">A nivel mundial, entre un 6% y un 8% de personas padece algún tipo de alergia alimentaria </w:t>
      </w:r>
    </w:p>
    <w:p w14:paraId="63441B0F" w14:textId="77160C3E" w:rsidR="00492F66" w:rsidRDefault="00492F66" w:rsidP="00C56A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moción patrocinada por los Diputados </w:t>
      </w:r>
      <w:r w:rsidRPr="00492F66">
        <w:rPr>
          <w:rFonts w:ascii="Verdana" w:hAnsi="Verdana"/>
          <w:sz w:val="24"/>
          <w:szCs w:val="24"/>
        </w:rPr>
        <w:t>Jaime Araya</w:t>
      </w:r>
      <w:r>
        <w:rPr>
          <w:rFonts w:ascii="Verdana" w:hAnsi="Verdana"/>
          <w:sz w:val="24"/>
          <w:szCs w:val="24"/>
        </w:rPr>
        <w:t xml:space="preserve">, </w:t>
      </w:r>
      <w:r w:rsidRPr="00492F66">
        <w:rPr>
          <w:rFonts w:ascii="Verdana" w:hAnsi="Verdana"/>
          <w:sz w:val="24"/>
          <w:szCs w:val="24"/>
        </w:rPr>
        <w:t xml:space="preserve">Rubén </w:t>
      </w:r>
      <w:r w:rsidR="00765DDB" w:rsidRPr="00492F66">
        <w:rPr>
          <w:rFonts w:ascii="Verdana" w:hAnsi="Verdana"/>
          <w:sz w:val="24"/>
          <w:szCs w:val="24"/>
        </w:rPr>
        <w:t>Darío</w:t>
      </w:r>
      <w:r w:rsidRPr="00492F66">
        <w:rPr>
          <w:rFonts w:ascii="Verdana" w:hAnsi="Verdana"/>
          <w:sz w:val="24"/>
          <w:szCs w:val="24"/>
        </w:rPr>
        <w:t xml:space="preserve"> Oyarzo</w:t>
      </w:r>
      <w:r>
        <w:rPr>
          <w:rFonts w:ascii="Verdana" w:hAnsi="Verdana"/>
          <w:sz w:val="24"/>
          <w:szCs w:val="24"/>
        </w:rPr>
        <w:t xml:space="preserve">, y las Diputadas </w:t>
      </w:r>
      <w:proofErr w:type="spellStart"/>
      <w:r w:rsidRPr="00492F66">
        <w:rPr>
          <w:rFonts w:ascii="Verdana" w:hAnsi="Verdana"/>
          <w:sz w:val="24"/>
          <w:szCs w:val="24"/>
        </w:rPr>
        <w:t>Danisa</w:t>
      </w:r>
      <w:proofErr w:type="spellEnd"/>
      <w:r w:rsidRPr="00492F66">
        <w:rPr>
          <w:rFonts w:ascii="Verdana" w:hAnsi="Verdana"/>
          <w:sz w:val="24"/>
          <w:szCs w:val="24"/>
        </w:rPr>
        <w:t xml:space="preserve"> Astudillo</w:t>
      </w:r>
      <w:r>
        <w:rPr>
          <w:rFonts w:ascii="Verdana" w:hAnsi="Verdana"/>
          <w:sz w:val="24"/>
          <w:szCs w:val="24"/>
        </w:rPr>
        <w:t xml:space="preserve">, </w:t>
      </w:r>
      <w:r w:rsidRPr="00492F66">
        <w:rPr>
          <w:rFonts w:ascii="Verdana" w:hAnsi="Verdana"/>
          <w:sz w:val="24"/>
          <w:szCs w:val="24"/>
        </w:rPr>
        <w:t>Viviana Delgado</w:t>
      </w:r>
      <w:r>
        <w:rPr>
          <w:rFonts w:ascii="Verdana" w:hAnsi="Verdana"/>
          <w:sz w:val="24"/>
          <w:szCs w:val="24"/>
        </w:rPr>
        <w:t xml:space="preserve">, </w:t>
      </w:r>
      <w:r w:rsidRPr="00492F66">
        <w:rPr>
          <w:rFonts w:ascii="Verdana" w:hAnsi="Verdana"/>
          <w:sz w:val="24"/>
          <w:szCs w:val="24"/>
        </w:rPr>
        <w:t xml:space="preserve">Erika Olivera </w:t>
      </w:r>
      <w:r>
        <w:rPr>
          <w:rFonts w:ascii="Verdana" w:hAnsi="Verdana"/>
          <w:sz w:val="24"/>
          <w:szCs w:val="24"/>
        </w:rPr>
        <w:t xml:space="preserve">y </w:t>
      </w:r>
      <w:r w:rsidRPr="00492F66">
        <w:rPr>
          <w:rFonts w:ascii="Verdana" w:hAnsi="Verdana"/>
          <w:sz w:val="24"/>
          <w:szCs w:val="24"/>
        </w:rPr>
        <w:t>Ximena Ossandón</w:t>
      </w:r>
      <w:r w:rsidR="00A44BB7">
        <w:rPr>
          <w:rFonts w:ascii="Verdana" w:hAnsi="Verdana"/>
          <w:sz w:val="24"/>
          <w:szCs w:val="24"/>
        </w:rPr>
        <w:t>, m</w:t>
      </w:r>
      <w:r w:rsidR="00A44BB7" w:rsidRPr="00A44BB7">
        <w:rPr>
          <w:rFonts w:ascii="Verdana" w:hAnsi="Verdana"/>
          <w:sz w:val="24"/>
          <w:szCs w:val="24"/>
        </w:rPr>
        <w:t xml:space="preserve">odifica la </w:t>
      </w:r>
      <w:r w:rsidR="00843623">
        <w:rPr>
          <w:rFonts w:ascii="Verdana" w:hAnsi="Verdana"/>
          <w:sz w:val="24"/>
          <w:szCs w:val="24"/>
        </w:rPr>
        <w:t>L</w:t>
      </w:r>
      <w:r w:rsidR="00A44BB7" w:rsidRPr="00A44BB7">
        <w:rPr>
          <w:rFonts w:ascii="Verdana" w:hAnsi="Verdana"/>
          <w:sz w:val="24"/>
          <w:szCs w:val="24"/>
        </w:rPr>
        <w:t>ey N°20.606, sobre composición nutricional de los alimentos y su publicidad, para obligar a informar la totalidad de los ingredientes usados en las preparaciones de la industria gastronómica y alimentaria</w:t>
      </w:r>
      <w:r w:rsidR="00A44BB7">
        <w:rPr>
          <w:rFonts w:ascii="Verdana" w:hAnsi="Verdana"/>
          <w:sz w:val="24"/>
          <w:szCs w:val="24"/>
        </w:rPr>
        <w:t xml:space="preserve">. </w:t>
      </w:r>
    </w:p>
    <w:p w14:paraId="651CF9FB" w14:textId="243ED77C" w:rsidR="00293041" w:rsidRDefault="008976AB" w:rsidP="00C56A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 autores del proyecto de ley señalan </w:t>
      </w:r>
      <w:r w:rsidR="000C0B96">
        <w:rPr>
          <w:rFonts w:ascii="Verdana" w:hAnsi="Verdana"/>
          <w:sz w:val="24"/>
          <w:szCs w:val="24"/>
        </w:rPr>
        <w:t>que,</w:t>
      </w:r>
      <w:r>
        <w:rPr>
          <w:rFonts w:ascii="Verdana" w:hAnsi="Verdana"/>
          <w:sz w:val="24"/>
          <w:szCs w:val="24"/>
        </w:rPr>
        <w:t xml:space="preserve"> </w:t>
      </w:r>
      <w:r w:rsidR="00843623">
        <w:rPr>
          <w:rFonts w:ascii="Verdana" w:hAnsi="Verdana"/>
          <w:sz w:val="24"/>
          <w:szCs w:val="24"/>
        </w:rPr>
        <w:t xml:space="preserve">de </w:t>
      </w:r>
      <w:r w:rsidR="00C56ADF" w:rsidRPr="001B4EC3">
        <w:rPr>
          <w:rFonts w:ascii="Verdana" w:hAnsi="Verdana"/>
          <w:sz w:val="24"/>
          <w:szCs w:val="24"/>
        </w:rPr>
        <w:t xml:space="preserve">acuerdo a diversos estudios, a nivel mundial, entre un 6% y un 8% de personas padece algún tipo de alergia alimentaria. Estas enfermedades se producen por alteraciones digestivas y pueden aparecer a cualquier edad. </w:t>
      </w:r>
    </w:p>
    <w:p w14:paraId="43544AAB" w14:textId="0147E23E" w:rsidR="006E4FF9" w:rsidRPr="001B4EC3" w:rsidRDefault="00DA09D5" w:rsidP="00C56A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Exponen que l</w:t>
      </w:r>
      <w:r w:rsidR="00C56ADF" w:rsidRPr="001B4EC3">
        <w:rPr>
          <w:rFonts w:ascii="Verdana" w:hAnsi="Verdana"/>
          <w:sz w:val="24"/>
          <w:szCs w:val="24"/>
        </w:rPr>
        <w:t xml:space="preserve">as estadísticas indican que el 50% de la población chilena es intolerante a la lactosa, el 10% de la población es diabética y el 1% es intolerante al gluten, de acuerdo </w:t>
      </w:r>
      <w:r w:rsidR="00F60A51">
        <w:rPr>
          <w:rFonts w:ascii="Verdana" w:hAnsi="Verdana"/>
          <w:sz w:val="24"/>
          <w:szCs w:val="24"/>
        </w:rPr>
        <w:t xml:space="preserve">a datos del </w:t>
      </w:r>
      <w:r w:rsidR="00C56ADF" w:rsidRPr="001B4EC3">
        <w:rPr>
          <w:rFonts w:ascii="Verdana" w:hAnsi="Verdana"/>
          <w:sz w:val="24"/>
          <w:szCs w:val="24"/>
        </w:rPr>
        <w:t xml:space="preserve">Ministerio de Salud. </w:t>
      </w:r>
    </w:p>
    <w:p w14:paraId="479982B4" w14:textId="505CF029" w:rsidR="006E4FF9" w:rsidRPr="001B4EC3" w:rsidRDefault="002D64E2" w:rsidP="00C56A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Agregan que, ante </w:t>
      </w:r>
      <w:r w:rsidR="00C56ADF" w:rsidRPr="001B4EC3">
        <w:rPr>
          <w:rFonts w:ascii="Verdana" w:hAnsi="Verdana"/>
          <w:sz w:val="24"/>
          <w:szCs w:val="24"/>
        </w:rPr>
        <w:t>el elevado índice de obesidad</w:t>
      </w:r>
      <w:r>
        <w:rPr>
          <w:rFonts w:ascii="Verdana" w:hAnsi="Verdana"/>
          <w:sz w:val="24"/>
          <w:szCs w:val="24"/>
        </w:rPr>
        <w:t xml:space="preserve"> en Chile,</w:t>
      </w:r>
      <w:r w:rsidR="00C56ADF" w:rsidRPr="001B4EC3">
        <w:rPr>
          <w:rFonts w:ascii="Verdana" w:hAnsi="Verdana"/>
          <w:sz w:val="24"/>
          <w:szCs w:val="24"/>
        </w:rPr>
        <w:t xml:space="preserve"> y prevalencia de enfermedades derivadas de ella, se ha promovido el hábito de una vida saludable, la que considera hacer deportes y el consumo de alimentos saludables</w:t>
      </w:r>
      <w:r w:rsidR="002C530F">
        <w:rPr>
          <w:rFonts w:ascii="Verdana" w:hAnsi="Verdana"/>
          <w:sz w:val="24"/>
          <w:szCs w:val="24"/>
        </w:rPr>
        <w:t>,</w:t>
      </w:r>
      <w:r w:rsidR="00C56ADF" w:rsidRPr="001B4EC3">
        <w:rPr>
          <w:rFonts w:ascii="Verdana" w:hAnsi="Verdana"/>
          <w:sz w:val="24"/>
          <w:szCs w:val="24"/>
        </w:rPr>
        <w:t xml:space="preserve"> como frutas, verduras, productos bajos en azúcar y bajos en calorías. Para estos efectos</w:t>
      </w:r>
      <w:r>
        <w:rPr>
          <w:rFonts w:ascii="Verdana" w:hAnsi="Verdana"/>
          <w:sz w:val="24"/>
          <w:szCs w:val="24"/>
        </w:rPr>
        <w:t>,</w:t>
      </w:r>
      <w:r w:rsidR="00C56ADF" w:rsidRPr="001B4EC3">
        <w:rPr>
          <w:rFonts w:ascii="Verdana" w:hAnsi="Verdana"/>
          <w:sz w:val="24"/>
          <w:szCs w:val="24"/>
        </w:rPr>
        <w:t xml:space="preserve"> el Estado implementó la “Ley de etiquetado de los alimentos”, cuyo objetivo es la entrega de información clara y comprensible al consumidor por medio del sello de advertencia “ALTO EN…”, que indica que en ese alimento está adicionado con sodio, grasas</w:t>
      </w:r>
      <w:r w:rsidR="006E4FF9" w:rsidRPr="001B4EC3">
        <w:rPr>
          <w:rFonts w:ascii="Verdana" w:hAnsi="Verdana"/>
          <w:sz w:val="24"/>
          <w:szCs w:val="24"/>
        </w:rPr>
        <w:t xml:space="preserve"> saturadas o azúcares, y cuya cantidad supera los límites establecidos por el Ministerio de Salud. </w:t>
      </w:r>
    </w:p>
    <w:p w14:paraId="72BF30EA" w14:textId="449854EA" w:rsidR="006E4FF9" w:rsidRPr="001B4EC3" w:rsidRDefault="006E4FF9" w:rsidP="007D2117">
      <w:pPr>
        <w:jc w:val="both"/>
        <w:rPr>
          <w:rFonts w:ascii="Verdana" w:hAnsi="Verdana"/>
          <w:sz w:val="24"/>
          <w:szCs w:val="24"/>
        </w:rPr>
      </w:pPr>
      <w:r w:rsidRPr="001B4EC3">
        <w:rPr>
          <w:rFonts w:ascii="Verdana" w:hAnsi="Verdana"/>
          <w:sz w:val="24"/>
          <w:szCs w:val="24"/>
        </w:rPr>
        <w:t xml:space="preserve">Sin embargo, </w:t>
      </w:r>
      <w:r w:rsidR="002D64E2">
        <w:rPr>
          <w:rFonts w:ascii="Verdana" w:hAnsi="Verdana"/>
          <w:sz w:val="24"/>
          <w:szCs w:val="24"/>
        </w:rPr>
        <w:t xml:space="preserve">exponen que, </w:t>
      </w:r>
      <w:r w:rsidRPr="001B4EC3">
        <w:rPr>
          <w:rFonts w:ascii="Verdana" w:hAnsi="Verdana"/>
          <w:sz w:val="24"/>
          <w:szCs w:val="24"/>
        </w:rPr>
        <w:t xml:space="preserve">para los efectos de las alergias, esta legislación no contempla una particular categoría dentro de la producción de los </w:t>
      </w:r>
      <w:r w:rsidR="002D64E2">
        <w:rPr>
          <w:rFonts w:ascii="Verdana" w:hAnsi="Verdana"/>
          <w:sz w:val="24"/>
          <w:szCs w:val="24"/>
        </w:rPr>
        <w:t xml:space="preserve">llamados </w:t>
      </w:r>
      <w:r w:rsidRPr="001B4EC3">
        <w:rPr>
          <w:rFonts w:ascii="Verdana" w:hAnsi="Verdana"/>
          <w:sz w:val="24"/>
          <w:szCs w:val="24"/>
        </w:rPr>
        <w:t xml:space="preserve">“alimentos ocultos”. </w:t>
      </w:r>
      <w:r w:rsidR="007D2117">
        <w:rPr>
          <w:rFonts w:ascii="Verdana" w:hAnsi="Verdana"/>
          <w:sz w:val="24"/>
          <w:szCs w:val="24"/>
        </w:rPr>
        <w:t xml:space="preserve">Estos se definen </w:t>
      </w:r>
      <w:r w:rsidRPr="001B4EC3">
        <w:rPr>
          <w:rFonts w:ascii="Verdana" w:hAnsi="Verdana"/>
          <w:sz w:val="24"/>
          <w:szCs w:val="24"/>
        </w:rPr>
        <w:t>como</w:t>
      </w:r>
      <w:r w:rsidR="002D64E2">
        <w:rPr>
          <w:rFonts w:ascii="Verdana" w:hAnsi="Verdana"/>
          <w:sz w:val="24"/>
          <w:szCs w:val="24"/>
        </w:rPr>
        <w:t xml:space="preserve"> </w:t>
      </w:r>
      <w:r w:rsidRPr="001B4EC3">
        <w:rPr>
          <w:rFonts w:ascii="Verdana" w:hAnsi="Verdana"/>
          <w:sz w:val="24"/>
          <w:szCs w:val="24"/>
        </w:rPr>
        <w:t xml:space="preserve">aquellos alérgenos alimentarios presentes en </w:t>
      </w:r>
      <w:r w:rsidR="007D2117" w:rsidRPr="001B4EC3">
        <w:rPr>
          <w:rFonts w:ascii="Verdana" w:hAnsi="Verdana"/>
          <w:sz w:val="24"/>
          <w:szCs w:val="24"/>
        </w:rPr>
        <w:t>un determinado producto alimenticio</w:t>
      </w:r>
      <w:r w:rsidRPr="001B4EC3">
        <w:rPr>
          <w:rFonts w:ascii="Verdana" w:hAnsi="Verdana"/>
          <w:sz w:val="24"/>
          <w:szCs w:val="24"/>
        </w:rPr>
        <w:t xml:space="preserve">, que se presenta de forma desapercibida al consumidor. </w:t>
      </w:r>
    </w:p>
    <w:p w14:paraId="4BC310D0" w14:textId="6B2F2458" w:rsidR="006E4FF9" w:rsidRPr="001B4EC3" w:rsidRDefault="002D1E9E" w:rsidP="00C56A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6473FA">
        <w:rPr>
          <w:rFonts w:ascii="Verdana" w:hAnsi="Verdana"/>
          <w:sz w:val="24"/>
          <w:szCs w:val="24"/>
        </w:rPr>
        <w:t>dvierten que otro</w:t>
      </w:r>
      <w:r w:rsidR="006E4FF9" w:rsidRPr="001B4EC3">
        <w:rPr>
          <w:rFonts w:ascii="Verdana" w:hAnsi="Verdana"/>
          <w:sz w:val="24"/>
          <w:szCs w:val="24"/>
        </w:rPr>
        <w:t xml:space="preserve"> gran inconveniente </w:t>
      </w:r>
      <w:r w:rsidR="003E2FF8">
        <w:rPr>
          <w:rFonts w:ascii="Verdana" w:hAnsi="Verdana"/>
          <w:sz w:val="24"/>
          <w:szCs w:val="24"/>
        </w:rPr>
        <w:t xml:space="preserve">radica </w:t>
      </w:r>
      <w:r w:rsidR="006E4FF9" w:rsidRPr="001B4EC3">
        <w:rPr>
          <w:rFonts w:ascii="Verdana" w:hAnsi="Verdana"/>
          <w:sz w:val="24"/>
          <w:szCs w:val="24"/>
        </w:rPr>
        <w:t>en los alimentos consumidos en la industria gastronómica (restaurant, comida rápida, al paso, sandwicherías, salones de té y similares), donde no existe el detalle de los ingredientes utilizados en las preparaciones, los cuales también pueden contener alimentos ocultos que, para el consumidor no son de público conocimiento</w:t>
      </w:r>
      <w:r w:rsidR="006473FA">
        <w:rPr>
          <w:rFonts w:ascii="Verdana" w:hAnsi="Verdana"/>
          <w:sz w:val="24"/>
          <w:szCs w:val="24"/>
        </w:rPr>
        <w:t>.</w:t>
      </w:r>
    </w:p>
    <w:p w14:paraId="05375DEE" w14:textId="3DF599CA" w:rsidR="006E4FF9" w:rsidRPr="001B4EC3" w:rsidRDefault="006473FA" w:rsidP="00C56A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Por lo anterior concluyen </w:t>
      </w:r>
      <w:r w:rsidR="004B6FF1" w:rsidRPr="001B4EC3">
        <w:rPr>
          <w:rFonts w:ascii="Verdana" w:hAnsi="Verdana"/>
          <w:sz w:val="24"/>
          <w:szCs w:val="24"/>
        </w:rPr>
        <w:t>que,</w:t>
      </w:r>
      <w:r w:rsidR="006E4FF9" w:rsidRPr="001B4EC3">
        <w:rPr>
          <w:rFonts w:ascii="Verdana" w:hAnsi="Verdana"/>
          <w:sz w:val="24"/>
          <w:szCs w:val="24"/>
        </w:rPr>
        <w:t xml:space="preserve"> si se desea mejorar la calidad de vida de los pacientes alérgicos a alimentos y sus familias</w:t>
      </w:r>
      <w:r>
        <w:rPr>
          <w:rFonts w:ascii="Verdana" w:hAnsi="Verdana"/>
          <w:sz w:val="24"/>
          <w:szCs w:val="24"/>
        </w:rPr>
        <w:t>,</w:t>
      </w:r>
      <w:r w:rsidR="006E4FF9" w:rsidRPr="001B4E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debe garantizarse </w:t>
      </w:r>
      <w:r w:rsidR="006E4FF9" w:rsidRPr="001B4EC3">
        <w:rPr>
          <w:rFonts w:ascii="Verdana" w:hAnsi="Verdana"/>
          <w:sz w:val="24"/>
          <w:szCs w:val="24"/>
        </w:rPr>
        <w:t xml:space="preserve">una información apropiada de los consumidores mediante la indicación de todos los ingredientes en el etiquetado y también en los alimentos preparados intelectualmente y que son consumidos en sitios como restaurantes, fuentes de soda, salones de té y otros similares. </w:t>
      </w:r>
    </w:p>
    <w:p w14:paraId="309F9881" w14:textId="0543E5BD" w:rsidR="001B4EC3" w:rsidRPr="001B4EC3" w:rsidRDefault="00FA4E1B" w:rsidP="00C56A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proyecto de ley, de artículo único, incorpora</w:t>
      </w:r>
      <w:r w:rsidR="0009355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nuevos </w:t>
      </w:r>
      <w:r w:rsidR="006E4FF9" w:rsidRPr="001B4EC3">
        <w:rPr>
          <w:rFonts w:ascii="Verdana" w:hAnsi="Verdana"/>
          <w:sz w:val="24"/>
          <w:szCs w:val="24"/>
        </w:rPr>
        <w:t>incisos</w:t>
      </w:r>
      <w:r>
        <w:rPr>
          <w:rFonts w:ascii="Verdana" w:hAnsi="Verdana"/>
          <w:sz w:val="24"/>
          <w:szCs w:val="24"/>
        </w:rPr>
        <w:t xml:space="preserve">, </w:t>
      </w:r>
      <w:r w:rsidR="006E4FF9" w:rsidRPr="001B4EC3">
        <w:rPr>
          <w:rFonts w:ascii="Verdana" w:hAnsi="Verdana"/>
          <w:sz w:val="24"/>
          <w:szCs w:val="24"/>
        </w:rPr>
        <w:t>segundo, tercero y cuarto</w:t>
      </w:r>
      <w:r>
        <w:rPr>
          <w:rFonts w:ascii="Verdana" w:hAnsi="Verdana"/>
          <w:sz w:val="24"/>
          <w:szCs w:val="24"/>
        </w:rPr>
        <w:t>,</w:t>
      </w:r>
      <w:r w:rsidR="006E4FF9" w:rsidRPr="001B4EC3">
        <w:rPr>
          <w:rFonts w:ascii="Verdana" w:hAnsi="Verdana"/>
          <w:sz w:val="24"/>
          <w:szCs w:val="24"/>
        </w:rPr>
        <w:t xml:space="preserve"> al </w:t>
      </w:r>
      <w:r w:rsidR="006E4FF9" w:rsidRPr="00FA4E1B">
        <w:rPr>
          <w:rFonts w:ascii="Verdana" w:hAnsi="Verdana"/>
          <w:b/>
          <w:bCs/>
          <w:sz w:val="24"/>
          <w:szCs w:val="24"/>
        </w:rPr>
        <w:t>artículo 2° de la Ley Nº20.606</w:t>
      </w:r>
      <w:r w:rsidR="006E4FF9" w:rsidRPr="001B4EC3">
        <w:rPr>
          <w:rFonts w:ascii="Verdana" w:hAnsi="Verdana"/>
          <w:sz w:val="24"/>
          <w:szCs w:val="24"/>
        </w:rPr>
        <w:t>,</w:t>
      </w:r>
      <w:r w:rsidR="006473FA">
        <w:rPr>
          <w:rFonts w:ascii="Verdana" w:hAnsi="Verdana"/>
          <w:sz w:val="24"/>
          <w:szCs w:val="24"/>
        </w:rPr>
        <w:t xml:space="preserve"> </w:t>
      </w:r>
      <w:r w:rsidR="006473FA" w:rsidRPr="001B4EC3">
        <w:rPr>
          <w:rFonts w:ascii="Verdana" w:hAnsi="Verdana"/>
          <w:sz w:val="24"/>
          <w:szCs w:val="24"/>
        </w:rPr>
        <w:t xml:space="preserve">sobre composición nutricional de los alimentos y su publicidad, </w:t>
      </w:r>
      <w:r>
        <w:rPr>
          <w:rFonts w:ascii="Verdana" w:hAnsi="Verdana"/>
          <w:sz w:val="24"/>
          <w:szCs w:val="24"/>
        </w:rPr>
        <w:t>del siguiente tenor:</w:t>
      </w:r>
    </w:p>
    <w:p w14:paraId="2252FA2C" w14:textId="77777777" w:rsidR="001B4EC3" w:rsidRPr="001B4EC3" w:rsidRDefault="006E4FF9" w:rsidP="00C56ADF">
      <w:pPr>
        <w:jc w:val="both"/>
        <w:rPr>
          <w:rFonts w:ascii="Verdana" w:hAnsi="Verdana"/>
          <w:i/>
          <w:iCs/>
          <w:sz w:val="24"/>
          <w:szCs w:val="24"/>
        </w:rPr>
      </w:pPr>
      <w:r w:rsidRPr="001B4EC3">
        <w:rPr>
          <w:rFonts w:ascii="Verdana" w:hAnsi="Verdana"/>
          <w:i/>
          <w:iCs/>
          <w:sz w:val="24"/>
          <w:szCs w:val="24"/>
        </w:rPr>
        <w:t xml:space="preserve">“Sin perjuicio de lo señalado en el inciso anterior y de las normas de etiquetado que deben determinarse en aplicación a las normas generales, en aquellos establecimientos destinados a la elaboración y expendio de platos preparados fríos o calientes, bebidas analcohólicas, emparedados y productos de pastelería para ser consumidos en el mismo local así como también para llevar, se deberá exhibir a los consumidores el listado de los ingredientes utilizados en cada preparación elaborada en dicha dependencia, inclusive aquellos que no sean aditivos que sean usados del mismo modo y que se encuentren presentes en el producto final, aunque sea en forma modificada. Tal indicación incluirá la palabra 'contiene' seguida del nombre del ingrediente o ingredientes en cuestión. </w:t>
      </w:r>
    </w:p>
    <w:p w14:paraId="0CCF68F4" w14:textId="77777777" w:rsidR="001B4EC3" w:rsidRPr="001B4EC3" w:rsidRDefault="006E4FF9" w:rsidP="00C56ADF">
      <w:pPr>
        <w:jc w:val="both"/>
        <w:rPr>
          <w:rFonts w:ascii="Verdana" w:hAnsi="Verdana"/>
          <w:i/>
          <w:iCs/>
          <w:sz w:val="24"/>
          <w:szCs w:val="24"/>
        </w:rPr>
      </w:pPr>
      <w:r w:rsidRPr="001B4EC3">
        <w:rPr>
          <w:rFonts w:ascii="Verdana" w:hAnsi="Verdana"/>
          <w:i/>
          <w:iCs/>
          <w:sz w:val="24"/>
          <w:szCs w:val="24"/>
        </w:rPr>
        <w:t xml:space="preserve">En caso de que se utilicen como ingredientes mezclas de alimentos en que ninguno predomine en peso o </w:t>
      </w:r>
      <w:proofErr w:type="spellStart"/>
      <w:r w:rsidRPr="001B4EC3">
        <w:rPr>
          <w:rFonts w:ascii="Verdana" w:hAnsi="Verdana"/>
          <w:i/>
          <w:iCs/>
          <w:sz w:val="24"/>
          <w:szCs w:val="24"/>
        </w:rPr>
        <w:t>volúmen</w:t>
      </w:r>
      <w:proofErr w:type="spellEnd"/>
      <w:r w:rsidRPr="001B4EC3">
        <w:rPr>
          <w:rFonts w:ascii="Verdana" w:hAnsi="Verdana"/>
          <w:i/>
          <w:iCs/>
          <w:sz w:val="24"/>
          <w:szCs w:val="24"/>
        </w:rPr>
        <w:t xml:space="preserve"> de una manera significativa, y se utilicen en proporciones variables, podrán agruparse en la lista de ingredientes con la denominación correspondiente a su género o especie, como por ejemplo 'frutas', 'hortalizas', 'pimienta cayena' u 'hongo', entre otros, seguida por la indicación 'en proporción variable', inmediatamente después de la enumeración del producto presente. </w:t>
      </w:r>
    </w:p>
    <w:p w14:paraId="3B39124B" w14:textId="1505EC7A" w:rsidR="009634ED" w:rsidRDefault="006E4FF9" w:rsidP="00C56ADF">
      <w:pPr>
        <w:jc w:val="both"/>
        <w:rPr>
          <w:rFonts w:ascii="Verdana" w:hAnsi="Verdana"/>
          <w:i/>
          <w:iCs/>
          <w:sz w:val="24"/>
          <w:szCs w:val="24"/>
        </w:rPr>
      </w:pPr>
      <w:r w:rsidRPr="001B4EC3">
        <w:rPr>
          <w:rFonts w:ascii="Verdana" w:hAnsi="Verdana"/>
          <w:i/>
          <w:iCs/>
          <w:sz w:val="24"/>
          <w:szCs w:val="24"/>
        </w:rPr>
        <w:t>A su vez, dicha información deberá estar disponible al consumidor en los sitios de venta presencial como también en los sitios electrónicos para venta a distancia.</w:t>
      </w:r>
      <w:r w:rsidR="001B4EC3" w:rsidRPr="001B4EC3">
        <w:rPr>
          <w:rFonts w:ascii="Verdana" w:hAnsi="Verdana"/>
          <w:i/>
          <w:iCs/>
          <w:sz w:val="24"/>
          <w:szCs w:val="24"/>
        </w:rPr>
        <w:t>”</w:t>
      </w:r>
    </w:p>
    <w:p w14:paraId="1F4DCA02" w14:textId="09AB9C5A" w:rsidR="00C60081" w:rsidRDefault="00C60081" w:rsidP="00C56A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</w:t>
      </w:r>
      <w:r w:rsidRPr="00C60081">
        <w:rPr>
          <w:rFonts w:ascii="Verdana" w:hAnsi="Verdana"/>
          <w:b/>
          <w:bCs/>
          <w:sz w:val="24"/>
          <w:szCs w:val="24"/>
        </w:rPr>
        <w:t>artículo 2°</w:t>
      </w:r>
      <w:r>
        <w:rPr>
          <w:rFonts w:ascii="Verdana" w:hAnsi="Verdana"/>
          <w:sz w:val="24"/>
          <w:szCs w:val="24"/>
        </w:rPr>
        <w:t xml:space="preserve"> establece lo siguiente:</w:t>
      </w:r>
    </w:p>
    <w:p w14:paraId="3BF2E074" w14:textId="77777777" w:rsidR="00C60081" w:rsidRPr="00C60081" w:rsidRDefault="00C60081" w:rsidP="00C60081">
      <w:pPr>
        <w:jc w:val="both"/>
        <w:rPr>
          <w:rFonts w:ascii="Verdana" w:hAnsi="Verdana"/>
          <w:i/>
          <w:iCs/>
          <w:sz w:val="24"/>
          <w:szCs w:val="24"/>
        </w:rPr>
      </w:pPr>
      <w:r w:rsidRPr="00C60081">
        <w:rPr>
          <w:rFonts w:ascii="Verdana" w:hAnsi="Verdana"/>
          <w:i/>
          <w:iCs/>
          <w:sz w:val="24"/>
          <w:szCs w:val="24"/>
        </w:rPr>
        <w:t>“</w:t>
      </w:r>
      <w:r w:rsidRPr="00C60081">
        <w:rPr>
          <w:rFonts w:ascii="Verdana" w:hAnsi="Verdana"/>
          <w:b/>
          <w:bCs/>
          <w:i/>
          <w:iCs/>
          <w:sz w:val="24"/>
          <w:szCs w:val="24"/>
        </w:rPr>
        <w:t>Artículo 2°.-</w:t>
      </w:r>
      <w:r w:rsidRPr="00C60081">
        <w:rPr>
          <w:rFonts w:ascii="Verdana" w:hAnsi="Verdana"/>
          <w:i/>
          <w:iCs/>
          <w:sz w:val="24"/>
          <w:szCs w:val="24"/>
        </w:rPr>
        <w:t xml:space="preserve"> Los fabricantes, productores, distribuidores e importadores de alimentos deberán informar en sus envases o etiquetas los ingredientes que contienen, incluyendo todos sus aditivos expresados en orden decreciente de proporciones, y su información nutricional, expresada en composición porcentual, unidad de peso o bajo la nomenclatura que indiquen los reglamentos vigentes. Asimismo, deberán informar en sus envases o etiquetas la calidad de </w:t>
      </w:r>
      <w:r w:rsidRPr="00C60081">
        <w:rPr>
          <w:rFonts w:ascii="Verdana" w:hAnsi="Verdana"/>
          <w:i/>
          <w:iCs/>
          <w:sz w:val="24"/>
          <w:szCs w:val="24"/>
        </w:rPr>
        <w:lastRenderedPageBreak/>
        <w:t>"libre de gluten" de los alimentos que cumplan con lo dispuesto en el inciso cuarto de este artículo.</w:t>
      </w:r>
    </w:p>
    <w:p w14:paraId="7755BC56" w14:textId="77777777" w:rsidR="00C60081" w:rsidRPr="00C60081" w:rsidRDefault="00C60081" w:rsidP="00C60081">
      <w:pPr>
        <w:jc w:val="both"/>
        <w:rPr>
          <w:rFonts w:ascii="Verdana" w:hAnsi="Verdana"/>
          <w:i/>
          <w:iCs/>
          <w:sz w:val="24"/>
          <w:szCs w:val="24"/>
        </w:rPr>
      </w:pPr>
      <w:r w:rsidRPr="00C60081">
        <w:rPr>
          <w:rFonts w:ascii="Verdana" w:hAnsi="Verdana"/>
          <w:i/>
          <w:iCs/>
          <w:sz w:val="24"/>
          <w:szCs w:val="24"/>
        </w:rPr>
        <w:t xml:space="preserve">Será el Ministerio de Salud, mediante el Reglamento Sanitario de los Alimentos, el que determinará, además, la forma, tamaño, colores, proporción, características y contenido de las etiquetas y rótulos nutricionales de los alimentos, velando especialmente </w:t>
      </w:r>
      <w:proofErr w:type="spellStart"/>
      <w:r w:rsidRPr="00C60081">
        <w:rPr>
          <w:rFonts w:ascii="Verdana" w:hAnsi="Verdana"/>
          <w:i/>
          <w:iCs/>
          <w:sz w:val="24"/>
          <w:szCs w:val="24"/>
        </w:rPr>
        <w:t>por que</w:t>
      </w:r>
      <w:proofErr w:type="spellEnd"/>
      <w:r w:rsidRPr="00C60081">
        <w:rPr>
          <w:rFonts w:ascii="Verdana" w:hAnsi="Verdana"/>
          <w:i/>
          <w:iCs/>
          <w:sz w:val="24"/>
          <w:szCs w:val="24"/>
        </w:rPr>
        <w:t xml:space="preserve"> la información que en ellos se contenga sea visible y de fácil comprensión por la población.</w:t>
      </w:r>
    </w:p>
    <w:p w14:paraId="2CE68BB9" w14:textId="77777777" w:rsidR="00C60081" w:rsidRPr="00C60081" w:rsidRDefault="00C60081" w:rsidP="00C60081">
      <w:pPr>
        <w:jc w:val="both"/>
        <w:rPr>
          <w:rFonts w:ascii="Verdana" w:hAnsi="Verdana"/>
          <w:i/>
          <w:iCs/>
          <w:sz w:val="24"/>
          <w:szCs w:val="24"/>
        </w:rPr>
      </w:pPr>
      <w:r w:rsidRPr="00C60081">
        <w:rPr>
          <w:rFonts w:ascii="Verdana" w:hAnsi="Verdana"/>
          <w:i/>
          <w:iCs/>
          <w:sz w:val="24"/>
          <w:szCs w:val="24"/>
        </w:rPr>
        <w:t>El etiquetado a que se refiere el inciso anterior deberá contemplar, al menos, los contenidos de energía, azúcares, sodio, grasas saturadas y los demás que el Ministerio de Salud determine.</w:t>
      </w:r>
    </w:p>
    <w:p w14:paraId="1799DDAC" w14:textId="56496754" w:rsidR="00C60081" w:rsidRDefault="00C60081" w:rsidP="00C60081">
      <w:pPr>
        <w:jc w:val="both"/>
        <w:rPr>
          <w:rFonts w:ascii="Verdana" w:hAnsi="Verdana"/>
          <w:i/>
          <w:iCs/>
          <w:sz w:val="24"/>
          <w:szCs w:val="24"/>
        </w:rPr>
      </w:pPr>
      <w:r w:rsidRPr="00C60081">
        <w:rPr>
          <w:rFonts w:ascii="Verdana" w:hAnsi="Verdana"/>
          <w:i/>
          <w:iCs/>
          <w:sz w:val="24"/>
          <w:szCs w:val="24"/>
        </w:rPr>
        <w:t>Los alimentos que se etiqueten como "libre de gluten" deberán cumplir con las condiciones que fije el Reglamento Sanitario de los Alimentos para que sean calificados como tales, y contar con un programa de buenas prácticas de fabricación, que será establecido por la autoridad sanitaria competente.”</w:t>
      </w:r>
    </w:p>
    <w:p w14:paraId="590DD595" w14:textId="0DC0F535" w:rsidR="00AA15F1" w:rsidRDefault="00AA15F1" w:rsidP="00C6008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proyecto de ley se encuentra en primer trámite constitucional, en la </w:t>
      </w:r>
      <w:r w:rsidR="00C56623" w:rsidRPr="00C56623">
        <w:rPr>
          <w:rFonts w:ascii="Verdana" w:hAnsi="Verdana"/>
          <w:sz w:val="24"/>
          <w:szCs w:val="24"/>
        </w:rPr>
        <w:t>Comisión de Salud</w:t>
      </w:r>
      <w:r w:rsidR="00C56623">
        <w:rPr>
          <w:rFonts w:ascii="Verdana" w:hAnsi="Verdana"/>
          <w:sz w:val="24"/>
          <w:szCs w:val="24"/>
        </w:rPr>
        <w:t xml:space="preserve"> de la Cámara Baja.</w:t>
      </w:r>
    </w:p>
    <w:p w14:paraId="3E8B9805" w14:textId="3886D7C3" w:rsidR="00C56623" w:rsidRPr="00AA15F1" w:rsidRDefault="00C56623" w:rsidP="00C6008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Vea Boletín N°15605-11 y siga su tramitación </w:t>
      </w:r>
      <w:hyperlink r:id="rId4" w:history="1">
        <w:r w:rsidRPr="001228E3">
          <w:rPr>
            <w:rStyle w:val="Hipervnculo"/>
            <w:rFonts w:ascii="Verdana" w:hAnsi="Verdana"/>
            <w:sz w:val="24"/>
            <w:szCs w:val="24"/>
          </w:rPr>
          <w:t>aquí.</w:t>
        </w:r>
      </w:hyperlink>
      <w:r>
        <w:rPr>
          <w:rFonts w:ascii="Verdana" w:hAnsi="Verdana"/>
          <w:sz w:val="24"/>
          <w:szCs w:val="24"/>
        </w:rPr>
        <w:t xml:space="preserve"> </w:t>
      </w:r>
    </w:p>
    <w:sectPr w:rsidR="00C56623" w:rsidRPr="00AA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11"/>
    <w:rsid w:val="0009355C"/>
    <w:rsid w:val="000C0B96"/>
    <w:rsid w:val="000E5D2C"/>
    <w:rsid w:val="001228E3"/>
    <w:rsid w:val="001B4EC3"/>
    <w:rsid w:val="00293041"/>
    <w:rsid w:val="002C530F"/>
    <w:rsid w:val="002D1E9E"/>
    <w:rsid w:val="002D3024"/>
    <w:rsid w:val="002D64E2"/>
    <w:rsid w:val="003019B8"/>
    <w:rsid w:val="00392635"/>
    <w:rsid w:val="003E2FF8"/>
    <w:rsid w:val="00492F66"/>
    <w:rsid w:val="004A0E2F"/>
    <w:rsid w:val="004B6FF1"/>
    <w:rsid w:val="005F0C58"/>
    <w:rsid w:val="006473FA"/>
    <w:rsid w:val="006E4FF9"/>
    <w:rsid w:val="0070437C"/>
    <w:rsid w:val="007334B7"/>
    <w:rsid w:val="00765DDB"/>
    <w:rsid w:val="007D2117"/>
    <w:rsid w:val="007F1611"/>
    <w:rsid w:val="00843623"/>
    <w:rsid w:val="008878F2"/>
    <w:rsid w:val="008976AB"/>
    <w:rsid w:val="00A44BB7"/>
    <w:rsid w:val="00AA15F1"/>
    <w:rsid w:val="00C56623"/>
    <w:rsid w:val="00C56ADF"/>
    <w:rsid w:val="00C60081"/>
    <w:rsid w:val="00C64332"/>
    <w:rsid w:val="00DA09D5"/>
    <w:rsid w:val="00DD5DA3"/>
    <w:rsid w:val="00E249E1"/>
    <w:rsid w:val="00F60A51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F4132"/>
  <w15:chartTrackingRefBased/>
  <w15:docId w15:val="{F28C2629-7F96-4D37-A8AC-DD14C82F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28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2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ara.cl/legislacion/ProyectosDeLey/tramitacion.aspx?prmID=16132&amp;prmBOLETIN=15605-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963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SOLEDAD ASENJO VÉLIZ</dc:creator>
  <cp:keywords/>
  <dc:description/>
  <cp:lastModifiedBy>SOFÍA SOLEDAD ASENJO VÉLIZ</cp:lastModifiedBy>
  <cp:revision>32</cp:revision>
  <dcterms:created xsi:type="dcterms:W3CDTF">2022-12-28T18:18:00Z</dcterms:created>
  <dcterms:modified xsi:type="dcterms:W3CDTF">2022-12-28T19:37:00Z</dcterms:modified>
</cp:coreProperties>
</file>